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B59" w:rsidRDefault="00F72605">
      <w:pPr>
        <w:rPr>
          <w:sz w:val="22"/>
          <w:szCs w:val="22"/>
        </w:rPr>
      </w:pPr>
      <w:bookmarkStart w:id="0" w:name="_GoBack"/>
      <w:bookmarkEnd w:id="0"/>
      <w:r>
        <w:rPr>
          <w:noProof/>
          <w:lang w:val="es-419" w:eastAsia="es-419"/>
        </w:rPr>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2729230" cy="590550"/>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29230" cy="590550"/>
                    </a:xfrm>
                    <a:prstGeom prst="rect">
                      <a:avLst/>
                    </a:prstGeom>
                  </pic:spPr>
                </pic:pic>
              </a:graphicData>
            </a:graphic>
            <wp14:sizeRelH relativeFrom="margin">
              <wp14:pctWidth>0</wp14:pctWidth>
            </wp14:sizeRelH>
            <wp14:sizeRelV relativeFrom="margin">
              <wp14:pctHeight>0</wp14:pctHeight>
            </wp14:sizeRelV>
          </wp:anchor>
        </w:drawing>
      </w:r>
    </w:p>
    <w:p w:rsidR="00150B59" w:rsidRDefault="00666799">
      <w:pPr>
        <w:pBdr>
          <w:top w:val="nil"/>
          <w:left w:val="nil"/>
          <w:bottom w:val="nil"/>
          <w:right w:val="nil"/>
          <w:between w:val="nil"/>
        </w:pBdr>
        <w:jc w:val="center"/>
        <w:rPr>
          <w:b/>
          <w:sz w:val="22"/>
          <w:szCs w:val="22"/>
        </w:rPr>
      </w:pPr>
      <w:r>
        <w:rPr>
          <w:b/>
          <w:sz w:val="22"/>
          <w:szCs w:val="22"/>
        </w:rPr>
        <w:t>MEMORANDO</w:t>
      </w:r>
    </w:p>
    <w:p w:rsidR="00150B59" w:rsidRDefault="00150B59">
      <w:pPr>
        <w:pBdr>
          <w:top w:val="nil"/>
          <w:left w:val="nil"/>
          <w:bottom w:val="nil"/>
          <w:right w:val="nil"/>
          <w:between w:val="nil"/>
        </w:pBdr>
        <w:jc w:val="center"/>
        <w:rPr>
          <w:b/>
          <w:sz w:val="22"/>
          <w:szCs w:val="22"/>
        </w:rPr>
      </w:pPr>
    </w:p>
    <w:p w:rsidR="00150B59" w:rsidRDefault="00150B59">
      <w:pPr>
        <w:pBdr>
          <w:top w:val="nil"/>
          <w:left w:val="nil"/>
          <w:bottom w:val="nil"/>
          <w:right w:val="nil"/>
          <w:between w:val="nil"/>
        </w:pBdr>
        <w:jc w:val="center"/>
        <w:rPr>
          <w:b/>
          <w:sz w:val="22"/>
          <w:szCs w:val="22"/>
        </w:rPr>
      </w:pPr>
    </w:p>
    <w:p w:rsidR="00150B59" w:rsidRDefault="00666799">
      <w:pPr>
        <w:pBdr>
          <w:top w:val="nil"/>
          <w:left w:val="nil"/>
          <w:bottom w:val="nil"/>
          <w:right w:val="nil"/>
          <w:between w:val="nil"/>
        </w:pBdr>
        <w:rPr>
          <w:b/>
          <w:sz w:val="22"/>
          <w:szCs w:val="22"/>
        </w:rPr>
      </w:pPr>
      <w:r>
        <w:rPr>
          <w:b/>
          <w:sz w:val="22"/>
          <w:szCs w:val="22"/>
        </w:rPr>
        <w:t>PARA:</w:t>
      </w:r>
      <w:r>
        <w:rPr>
          <w:sz w:val="22"/>
          <w:szCs w:val="22"/>
        </w:rPr>
        <w:t xml:space="preserve"> </w:t>
      </w:r>
      <w:r>
        <w:rPr>
          <w:sz w:val="22"/>
          <w:szCs w:val="22"/>
        </w:rPr>
        <w:tab/>
      </w:r>
      <w:r>
        <w:rPr>
          <w:b/>
          <w:sz w:val="22"/>
          <w:szCs w:val="22"/>
        </w:rPr>
        <w:t>DAVID ANTONIO GARZÓN FANDIÑO</w:t>
      </w:r>
    </w:p>
    <w:p w:rsidR="00150B59" w:rsidRDefault="00666799">
      <w:pPr>
        <w:pBdr>
          <w:top w:val="nil"/>
          <w:left w:val="nil"/>
          <w:bottom w:val="nil"/>
          <w:right w:val="nil"/>
          <w:between w:val="nil"/>
        </w:pBdr>
        <w:ind w:left="1418"/>
        <w:rPr>
          <w:sz w:val="22"/>
          <w:szCs w:val="22"/>
        </w:rPr>
      </w:pPr>
      <w:r>
        <w:rPr>
          <w:sz w:val="22"/>
          <w:szCs w:val="22"/>
        </w:rPr>
        <w:t xml:space="preserve">Subsecretario de Despacho - Comisión Segunda Permanente de Gobierno </w:t>
      </w:r>
    </w:p>
    <w:p w:rsidR="00150B59" w:rsidRDefault="00150B59">
      <w:pPr>
        <w:pBdr>
          <w:top w:val="nil"/>
          <w:left w:val="nil"/>
          <w:bottom w:val="nil"/>
          <w:right w:val="nil"/>
          <w:between w:val="nil"/>
        </w:pBdr>
        <w:ind w:left="1418"/>
        <w:rPr>
          <w:sz w:val="22"/>
          <w:szCs w:val="22"/>
        </w:rPr>
      </w:pPr>
    </w:p>
    <w:p w:rsidR="00150B59" w:rsidRDefault="00666799">
      <w:pPr>
        <w:pBdr>
          <w:top w:val="nil"/>
          <w:left w:val="nil"/>
          <w:bottom w:val="nil"/>
          <w:right w:val="nil"/>
          <w:between w:val="nil"/>
        </w:pBdr>
        <w:rPr>
          <w:sz w:val="22"/>
          <w:szCs w:val="22"/>
        </w:rPr>
      </w:pPr>
      <w:r>
        <w:rPr>
          <w:b/>
          <w:sz w:val="22"/>
          <w:szCs w:val="22"/>
        </w:rPr>
        <w:t>DE:</w:t>
      </w:r>
      <w:r>
        <w:rPr>
          <w:sz w:val="22"/>
          <w:szCs w:val="22"/>
        </w:rPr>
        <w:tab/>
      </w:r>
      <w:r>
        <w:rPr>
          <w:sz w:val="22"/>
          <w:szCs w:val="22"/>
        </w:rPr>
        <w:tab/>
        <w:t>H. C. Germán Augusto García Maya (Coordinador)</w:t>
      </w:r>
    </w:p>
    <w:p w:rsidR="00150B59" w:rsidRDefault="00666799">
      <w:pPr>
        <w:pBdr>
          <w:top w:val="nil"/>
          <w:left w:val="nil"/>
          <w:bottom w:val="nil"/>
          <w:right w:val="nil"/>
          <w:between w:val="nil"/>
        </w:pBdr>
        <w:rPr>
          <w:sz w:val="22"/>
          <w:szCs w:val="22"/>
        </w:rPr>
      </w:pPr>
      <w:r>
        <w:rPr>
          <w:sz w:val="22"/>
          <w:szCs w:val="22"/>
        </w:rPr>
        <w:tab/>
      </w:r>
      <w:r>
        <w:rPr>
          <w:sz w:val="22"/>
          <w:szCs w:val="22"/>
        </w:rPr>
        <w:tab/>
        <w:t>H.C. Fernando López Gutiérrez (Ponente)</w:t>
      </w:r>
    </w:p>
    <w:p w:rsidR="00150B59" w:rsidRDefault="00150B59">
      <w:pPr>
        <w:pBdr>
          <w:top w:val="nil"/>
          <w:left w:val="nil"/>
          <w:bottom w:val="nil"/>
          <w:right w:val="nil"/>
          <w:between w:val="nil"/>
        </w:pBdr>
        <w:rPr>
          <w:sz w:val="22"/>
          <w:szCs w:val="22"/>
        </w:rPr>
      </w:pPr>
    </w:p>
    <w:p w:rsidR="00150B59" w:rsidRDefault="00666799">
      <w:pPr>
        <w:pBdr>
          <w:top w:val="nil"/>
          <w:left w:val="nil"/>
          <w:bottom w:val="nil"/>
          <w:right w:val="nil"/>
          <w:between w:val="nil"/>
        </w:pBdr>
        <w:ind w:left="1418" w:hanging="1418"/>
        <w:rPr>
          <w:sz w:val="22"/>
          <w:szCs w:val="22"/>
        </w:rPr>
      </w:pPr>
      <w:r>
        <w:rPr>
          <w:b/>
          <w:sz w:val="22"/>
          <w:szCs w:val="22"/>
        </w:rPr>
        <w:t>ASUNTO:</w:t>
      </w:r>
      <w:r>
        <w:rPr>
          <w:sz w:val="22"/>
          <w:szCs w:val="22"/>
        </w:rPr>
        <w:t xml:space="preserve"> </w:t>
      </w:r>
      <w:r>
        <w:rPr>
          <w:sz w:val="22"/>
          <w:szCs w:val="22"/>
        </w:rPr>
        <w:tab/>
        <w:t xml:space="preserve">Ponencia </w:t>
      </w:r>
      <w:r>
        <w:rPr>
          <w:b/>
          <w:sz w:val="22"/>
          <w:szCs w:val="22"/>
        </w:rPr>
        <w:t xml:space="preserve">Positiva Conjunta con modificaciones </w:t>
      </w:r>
      <w:r>
        <w:rPr>
          <w:sz w:val="22"/>
          <w:szCs w:val="22"/>
        </w:rPr>
        <w:t>para primer debate del Proyecto de Acuerdo No. 179 de 2025.</w:t>
      </w:r>
    </w:p>
    <w:p w:rsidR="00150B59" w:rsidRDefault="00150B59">
      <w:pPr>
        <w:pBdr>
          <w:top w:val="nil"/>
          <w:left w:val="nil"/>
          <w:bottom w:val="nil"/>
          <w:right w:val="nil"/>
          <w:between w:val="nil"/>
        </w:pBdr>
        <w:jc w:val="both"/>
        <w:rPr>
          <w:sz w:val="22"/>
          <w:szCs w:val="22"/>
        </w:rPr>
      </w:pPr>
    </w:p>
    <w:p w:rsidR="00150B59" w:rsidRDefault="00150B59">
      <w:pPr>
        <w:pBdr>
          <w:top w:val="nil"/>
          <w:left w:val="nil"/>
          <w:bottom w:val="nil"/>
          <w:right w:val="nil"/>
          <w:between w:val="nil"/>
        </w:pBdr>
        <w:jc w:val="both"/>
        <w:rPr>
          <w:sz w:val="22"/>
          <w:szCs w:val="22"/>
        </w:rPr>
      </w:pPr>
    </w:p>
    <w:p w:rsidR="00150B59" w:rsidRDefault="00666799">
      <w:pPr>
        <w:pBdr>
          <w:top w:val="nil"/>
          <w:left w:val="nil"/>
          <w:bottom w:val="nil"/>
          <w:right w:val="nil"/>
          <w:between w:val="nil"/>
        </w:pBdr>
        <w:jc w:val="both"/>
        <w:rPr>
          <w:sz w:val="22"/>
          <w:szCs w:val="22"/>
        </w:rPr>
      </w:pPr>
      <w:r>
        <w:rPr>
          <w:sz w:val="22"/>
          <w:szCs w:val="22"/>
        </w:rPr>
        <w:t xml:space="preserve">Cordial saludo, </w:t>
      </w:r>
    </w:p>
    <w:p w:rsidR="00150B59" w:rsidRDefault="00150B59">
      <w:pPr>
        <w:pBdr>
          <w:top w:val="nil"/>
          <w:left w:val="nil"/>
          <w:bottom w:val="nil"/>
          <w:right w:val="nil"/>
          <w:between w:val="nil"/>
        </w:pBdr>
        <w:jc w:val="both"/>
        <w:rPr>
          <w:sz w:val="22"/>
          <w:szCs w:val="22"/>
        </w:rPr>
      </w:pPr>
    </w:p>
    <w:p w:rsidR="00150B59" w:rsidRDefault="00150B59">
      <w:pPr>
        <w:pBdr>
          <w:top w:val="nil"/>
          <w:left w:val="nil"/>
          <w:bottom w:val="nil"/>
          <w:right w:val="nil"/>
          <w:between w:val="nil"/>
        </w:pBdr>
        <w:jc w:val="both"/>
        <w:rPr>
          <w:sz w:val="22"/>
          <w:szCs w:val="22"/>
        </w:rPr>
      </w:pPr>
    </w:p>
    <w:p w:rsidR="00150B59" w:rsidRDefault="00666799">
      <w:pPr>
        <w:jc w:val="both"/>
        <w:rPr>
          <w:sz w:val="22"/>
          <w:szCs w:val="22"/>
        </w:rPr>
      </w:pPr>
      <w:r>
        <w:rPr>
          <w:sz w:val="22"/>
          <w:szCs w:val="22"/>
        </w:rPr>
        <w:t xml:space="preserve">En atención a la designación efectuada por medio del sorteo realizado el pasado 24 de enero de 2025 con CORDIS N. 2025IE1939 y dentro del término legal, me permito rendir PONENCIA POSITIVA CONJUNTA CON MODIFICACIONES para primer debate al Proyecto de Acuerdo No. 179 de 2025 </w:t>
      </w:r>
      <w:r>
        <w:rPr>
          <w:b/>
          <w:i/>
          <w:sz w:val="22"/>
          <w:szCs w:val="22"/>
        </w:rPr>
        <w:t>“POR MEDIO DEL CUAL SE ESTABLECEN LINEAMIENTOS PARA LA CREACIÓN DE UNA ÚNICA RUTA DE DENUNCIA Y ATENCIÓN INTEGRAL PARA LAS VÍCTIMAS DE EXTORSIÓN EN EL DISTRITO CAPITAL”</w:t>
      </w:r>
      <w:r>
        <w:rPr>
          <w:sz w:val="22"/>
          <w:szCs w:val="22"/>
        </w:rPr>
        <w:t xml:space="preserve"> de autoría de los Honorables Concejales Quena María Ribadeneira y Óscar Fernando Bastidas Jacanamijoy. </w:t>
      </w:r>
    </w:p>
    <w:p w:rsidR="00150B59" w:rsidRDefault="00150B59">
      <w:pPr>
        <w:pBdr>
          <w:top w:val="nil"/>
          <w:left w:val="nil"/>
          <w:bottom w:val="nil"/>
          <w:right w:val="nil"/>
          <w:between w:val="nil"/>
        </w:pBdr>
        <w:spacing w:line="276" w:lineRule="auto"/>
        <w:jc w:val="both"/>
        <w:rPr>
          <w:sz w:val="22"/>
          <w:szCs w:val="22"/>
        </w:rPr>
      </w:pPr>
    </w:p>
    <w:p w:rsidR="00150B59" w:rsidRDefault="00150B59">
      <w:pPr>
        <w:rPr>
          <w:sz w:val="22"/>
          <w:szCs w:val="22"/>
        </w:rPr>
      </w:pPr>
    </w:p>
    <w:p w:rsidR="00150B59" w:rsidRDefault="00150B59">
      <w:pPr>
        <w:rPr>
          <w:sz w:val="22"/>
          <w:szCs w:val="22"/>
        </w:rPr>
      </w:pPr>
    </w:p>
    <w:p w:rsidR="00150B59" w:rsidRDefault="00150B59">
      <w:pPr>
        <w:rPr>
          <w:sz w:val="22"/>
          <w:szCs w:val="22"/>
        </w:rPr>
      </w:pPr>
    </w:p>
    <w:p w:rsidR="00150B59" w:rsidRDefault="00150B59">
      <w:pPr>
        <w:rPr>
          <w:sz w:val="22"/>
          <w:szCs w:val="22"/>
        </w:rPr>
      </w:pPr>
    </w:p>
    <w:p w:rsidR="00150B59" w:rsidRDefault="00666799">
      <w:pPr>
        <w:rPr>
          <w:sz w:val="22"/>
          <w:szCs w:val="22"/>
        </w:rPr>
      </w:pPr>
      <w:r>
        <w:rPr>
          <w:sz w:val="22"/>
          <w:szCs w:val="22"/>
        </w:rPr>
        <w:t xml:space="preserve">Atentamente, </w:t>
      </w:r>
    </w:p>
    <w:p w:rsidR="00150B59" w:rsidRDefault="00150B59">
      <w:pPr>
        <w:rPr>
          <w:sz w:val="22"/>
          <w:szCs w:val="22"/>
        </w:rPr>
      </w:pPr>
    </w:p>
    <w:p w:rsidR="00150B59" w:rsidRDefault="00150B59">
      <w:pPr>
        <w:rPr>
          <w:sz w:val="22"/>
          <w:szCs w:val="22"/>
        </w:rPr>
      </w:pPr>
    </w:p>
    <w:p w:rsidR="00150B59" w:rsidRDefault="00150B59">
      <w:pPr>
        <w:rPr>
          <w:sz w:val="22"/>
          <w:szCs w:val="22"/>
        </w:rPr>
      </w:pPr>
    </w:p>
    <w:p w:rsidR="00150B59" w:rsidRDefault="00150B59">
      <w:pPr>
        <w:rPr>
          <w:sz w:val="22"/>
          <w:szCs w:val="22"/>
        </w:rPr>
      </w:pPr>
    </w:p>
    <w:p w:rsidR="00150B59" w:rsidRDefault="00150B59">
      <w:pPr>
        <w:rPr>
          <w:sz w:val="22"/>
          <w:szCs w:val="22"/>
        </w:rPr>
      </w:pPr>
    </w:p>
    <w:p w:rsidR="00150B59" w:rsidRDefault="00150B59">
      <w:pPr>
        <w:rPr>
          <w:sz w:val="22"/>
          <w:szCs w:val="22"/>
        </w:rPr>
      </w:pPr>
    </w:p>
    <w:p w:rsidR="00150B59" w:rsidRDefault="00666799">
      <w:pPr>
        <w:rPr>
          <w:sz w:val="22"/>
          <w:szCs w:val="22"/>
        </w:rPr>
      </w:pPr>
      <w:r>
        <w:rPr>
          <w:noProof/>
          <w:lang w:val="es-419" w:eastAsia="es-419"/>
        </w:rPr>
        <mc:AlternateContent>
          <mc:Choice Requires="wps">
            <w:drawing>
              <wp:anchor distT="0" distB="0" distL="114300" distR="114300" simplePos="0" relativeHeight="251658240" behindDoc="0" locked="0" layoutInCell="1" hidden="0" allowOverlap="1">
                <wp:simplePos x="0" y="0"/>
                <wp:positionH relativeFrom="column">
                  <wp:posOffset>1</wp:posOffset>
                </wp:positionH>
                <wp:positionV relativeFrom="paragraph">
                  <wp:posOffset>127000</wp:posOffset>
                </wp:positionV>
                <wp:extent cx="9525" cy="12700"/>
                <wp:effectExtent l="0" t="0" r="0" b="0"/>
                <wp:wrapNone/>
                <wp:docPr id="14" name="Conector recto de flecha 14"/>
                <wp:cNvGraphicFramePr/>
                <a:graphic xmlns:a="http://schemas.openxmlformats.org/drawingml/2006/main">
                  <a:graphicData uri="http://schemas.microsoft.com/office/word/2010/wordprocessingShape">
                    <wps:wsp>
                      <wps:cNvCnPr/>
                      <wps:spPr>
                        <a:xfrm>
                          <a:off x="4141088" y="3775238"/>
                          <a:ext cx="240982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1="http://schemas.microsoft.com/office/drawing/2015/9/8/chartex"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127000</wp:posOffset>
                </wp:positionV>
                <wp:extent cx="9525" cy="12700"/>
                <wp:effectExtent b="0" l="0" r="0" t="0"/>
                <wp:wrapNone/>
                <wp:docPr id="1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Pr>
          <w:noProof/>
          <w:lang w:val="es-419" w:eastAsia="es-419"/>
        </w:rPr>
        <mc:AlternateContent>
          <mc:Choice Requires="wps">
            <w:drawing>
              <wp:anchor distT="0" distB="0" distL="114300" distR="114300" simplePos="0" relativeHeight="251659264" behindDoc="0" locked="0" layoutInCell="1" hidden="0" allowOverlap="1">
                <wp:simplePos x="0" y="0"/>
                <wp:positionH relativeFrom="column">
                  <wp:posOffset>3416300</wp:posOffset>
                </wp:positionH>
                <wp:positionV relativeFrom="paragraph">
                  <wp:posOffset>114300</wp:posOffset>
                </wp:positionV>
                <wp:extent cx="0" cy="12700"/>
                <wp:effectExtent l="0" t="0" r="0" b="0"/>
                <wp:wrapNone/>
                <wp:docPr id="12" name="Conector recto de flecha 12"/>
                <wp:cNvGraphicFramePr/>
                <a:graphic xmlns:a="http://schemas.openxmlformats.org/drawingml/2006/main">
                  <a:graphicData uri="http://schemas.microsoft.com/office/word/2010/wordprocessingShape">
                    <wps:wsp>
                      <wps:cNvCnPr/>
                      <wps:spPr>
                        <a:xfrm>
                          <a:off x="4222050" y="3780000"/>
                          <a:ext cx="224790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1="http://schemas.microsoft.com/office/drawing/2015/9/8/chartex"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3416300</wp:posOffset>
                </wp:positionH>
                <wp:positionV relativeFrom="paragraph">
                  <wp:posOffset>114300</wp:posOffset>
                </wp:positionV>
                <wp:extent cx="0" cy="12700"/>
                <wp:effectExtent b="0" l="0" r="0" t="0"/>
                <wp:wrapNone/>
                <wp:docPr id="1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150B59" w:rsidRDefault="00666799">
      <w:pPr>
        <w:rPr>
          <w:b/>
          <w:sz w:val="22"/>
          <w:szCs w:val="22"/>
        </w:rPr>
      </w:pPr>
      <w:r>
        <w:rPr>
          <w:b/>
          <w:sz w:val="22"/>
          <w:szCs w:val="22"/>
        </w:rPr>
        <w:t>GERMAN AUGUSTO GARCIA MAYA                           FERNANDO LÓPEZ GUTIÉRREZ</w:t>
      </w:r>
    </w:p>
    <w:p w:rsidR="00150B59" w:rsidRDefault="00666799">
      <w:pPr>
        <w:rPr>
          <w:sz w:val="22"/>
          <w:szCs w:val="22"/>
        </w:rPr>
      </w:pPr>
      <w:r>
        <w:rPr>
          <w:sz w:val="22"/>
          <w:szCs w:val="22"/>
        </w:rPr>
        <w:lastRenderedPageBreak/>
        <w:t>Coordinador Ponente</w:t>
      </w:r>
      <w:r>
        <w:rPr>
          <w:sz w:val="22"/>
          <w:szCs w:val="22"/>
        </w:rPr>
        <w:tab/>
      </w:r>
      <w:r>
        <w:rPr>
          <w:sz w:val="22"/>
          <w:szCs w:val="22"/>
        </w:rPr>
        <w:tab/>
        <w:t xml:space="preserve">                                          Ponente</w:t>
      </w:r>
    </w:p>
    <w:p w:rsidR="00150B59" w:rsidRDefault="00150B59">
      <w:pPr>
        <w:rPr>
          <w:sz w:val="22"/>
          <w:szCs w:val="22"/>
        </w:rPr>
      </w:pPr>
    </w:p>
    <w:p w:rsidR="00150B59" w:rsidRDefault="00150B59">
      <w:pPr>
        <w:rPr>
          <w:sz w:val="22"/>
          <w:szCs w:val="22"/>
        </w:rPr>
      </w:pPr>
    </w:p>
    <w:p w:rsidR="00150B59" w:rsidRDefault="00150B59">
      <w:pPr>
        <w:rPr>
          <w:sz w:val="22"/>
          <w:szCs w:val="22"/>
        </w:rPr>
      </w:pPr>
    </w:p>
    <w:p w:rsidR="00150B59" w:rsidRDefault="00150B59">
      <w:pPr>
        <w:rPr>
          <w:sz w:val="22"/>
          <w:szCs w:val="22"/>
        </w:rPr>
      </w:pPr>
    </w:p>
    <w:p w:rsidR="00150B59" w:rsidRDefault="00150B59">
      <w:pPr>
        <w:jc w:val="center"/>
        <w:rPr>
          <w:b/>
          <w:sz w:val="22"/>
          <w:szCs w:val="22"/>
        </w:rPr>
      </w:pPr>
    </w:p>
    <w:p w:rsidR="00150B59" w:rsidRDefault="00666799">
      <w:pPr>
        <w:jc w:val="center"/>
        <w:rPr>
          <w:b/>
          <w:sz w:val="22"/>
          <w:szCs w:val="22"/>
        </w:rPr>
      </w:pPr>
      <w:r>
        <w:rPr>
          <w:b/>
          <w:sz w:val="22"/>
          <w:szCs w:val="22"/>
        </w:rPr>
        <w:t>PONENCIA PROYECTO DE ACUERDO No. 179 DE  2025</w:t>
      </w:r>
    </w:p>
    <w:p w:rsidR="00150B59" w:rsidRDefault="00150B59">
      <w:pPr>
        <w:rPr>
          <w:sz w:val="22"/>
          <w:szCs w:val="22"/>
        </w:rPr>
      </w:pPr>
    </w:p>
    <w:p w:rsidR="00150B59" w:rsidRDefault="00666799">
      <w:pPr>
        <w:jc w:val="center"/>
        <w:rPr>
          <w:sz w:val="22"/>
          <w:szCs w:val="22"/>
        </w:rPr>
      </w:pPr>
      <w:r>
        <w:rPr>
          <w:b/>
          <w:i/>
          <w:sz w:val="22"/>
          <w:szCs w:val="22"/>
        </w:rPr>
        <w:t>“POR MEDIO DEL CUAL SE ESTABLECEN LINEAMIENTOS PARA LA CREACIÓN DE UNA ÚNICA RUTA DE DENUNCIA Y ATENCIÓN INTEGRAL PARA LAS VÍCTIMAS DE EXTORSIÓN EN EL DISTRITO CAPITAL”</w:t>
      </w:r>
    </w:p>
    <w:p w:rsidR="00150B59" w:rsidRDefault="00150B59">
      <w:pPr>
        <w:jc w:val="center"/>
        <w:rPr>
          <w:sz w:val="22"/>
          <w:szCs w:val="22"/>
        </w:rPr>
      </w:pPr>
    </w:p>
    <w:p w:rsidR="00150B59" w:rsidRDefault="00150B59">
      <w:pPr>
        <w:rPr>
          <w:sz w:val="22"/>
          <w:szCs w:val="22"/>
        </w:rPr>
      </w:pPr>
    </w:p>
    <w:p w:rsidR="00150B59" w:rsidRDefault="00666799">
      <w:pPr>
        <w:numPr>
          <w:ilvl w:val="0"/>
          <w:numId w:val="1"/>
        </w:numPr>
        <w:pBdr>
          <w:top w:val="nil"/>
          <w:left w:val="nil"/>
          <w:bottom w:val="nil"/>
          <w:right w:val="nil"/>
          <w:between w:val="nil"/>
        </w:pBdr>
        <w:rPr>
          <w:sz w:val="22"/>
          <w:szCs w:val="22"/>
        </w:rPr>
      </w:pPr>
      <w:r>
        <w:rPr>
          <w:b/>
          <w:sz w:val="22"/>
          <w:szCs w:val="22"/>
          <w:u w:val="single"/>
        </w:rPr>
        <w:t>OBJETO</w:t>
      </w:r>
    </w:p>
    <w:p w:rsidR="00150B59" w:rsidRDefault="00150B59">
      <w:pPr>
        <w:rPr>
          <w:b/>
          <w:sz w:val="22"/>
          <w:szCs w:val="22"/>
        </w:rPr>
      </w:pPr>
    </w:p>
    <w:p w:rsidR="00150B59" w:rsidRDefault="00666799">
      <w:pPr>
        <w:spacing w:line="276" w:lineRule="auto"/>
        <w:jc w:val="both"/>
        <w:rPr>
          <w:sz w:val="22"/>
          <w:szCs w:val="22"/>
        </w:rPr>
      </w:pPr>
      <w:r>
        <w:rPr>
          <w:sz w:val="22"/>
          <w:szCs w:val="22"/>
        </w:rPr>
        <w:t xml:space="preserve">El presente proyecto de acuerdo tiene por objeto fortalecer la ruta de denuncia para las personas víctimas de extorsión en Bogotá, con el fin de generar una inmediata, efectiva y eficaz atención y a su vez, garantizar una protección y acompañamiento adecuado para las víctimas en la capital. </w:t>
      </w:r>
    </w:p>
    <w:p w:rsidR="00150B59" w:rsidRDefault="00150B59">
      <w:pPr>
        <w:rPr>
          <w:sz w:val="22"/>
          <w:szCs w:val="22"/>
        </w:rPr>
      </w:pPr>
      <w:bookmarkStart w:id="1" w:name="_heading=h.gjdgxs" w:colFirst="0" w:colLast="0"/>
      <w:bookmarkEnd w:id="1"/>
    </w:p>
    <w:p w:rsidR="00150B59" w:rsidRDefault="00150B59">
      <w:pPr>
        <w:rPr>
          <w:sz w:val="22"/>
          <w:szCs w:val="22"/>
        </w:rPr>
      </w:pPr>
    </w:p>
    <w:p w:rsidR="00150B59" w:rsidRDefault="00666799">
      <w:pPr>
        <w:numPr>
          <w:ilvl w:val="0"/>
          <w:numId w:val="1"/>
        </w:numPr>
        <w:pBdr>
          <w:top w:val="nil"/>
          <w:left w:val="nil"/>
          <w:bottom w:val="nil"/>
          <w:right w:val="nil"/>
          <w:between w:val="nil"/>
        </w:pBdr>
        <w:rPr>
          <w:sz w:val="22"/>
          <w:szCs w:val="22"/>
        </w:rPr>
      </w:pPr>
      <w:r>
        <w:rPr>
          <w:b/>
          <w:sz w:val="22"/>
          <w:szCs w:val="22"/>
          <w:u w:val="single"/>
        </w:rPr>
        <w:t>JUSTIFICACIÓN DEL PROYECTO Y ANÁLISIS DE LA INICIATIVA</w:t>
      </w:r>
    </w:p>
    <w:p w:rsidR="00150B59" w:rsidRDefault="00150B59">
      <w:pPr>
        <w:rPr>
          <w:sz w:val="22"/>
          <w:szCs w:val="22"/>
        </w:rPr>
      </w:pPr>
    </w:p>
    <w:p w:rsidR="00150B59" w:rsidRDefault="00666799">
      <w:pPr>
        <w:jc w:val="both"/>
        <w:rPr>
          <w:sz w:val="22"/>
          <w:szCs w:val="22"/>
        </w:rPr>
      </w:pPr>
      <w:r>
        <w:rPr>
          <w:sz w:val="22"/>
          <w:szCs w:val="22"/>
        </w:rPr>
        <w:t xml:space="preserve">La extorsión no es un delito aislado, afecta la estabilidad y la convivencia de las comunidades donde se presenta. Por ende, el ciudadano empieza a perder la “fe” en la protección que sus gobernantes pueden brindarles, y es por ello que se torna un desafío para el Estado combatir con esta clase de delito. </w:t>
      </w:r>
    </w:p>
    <w:p w:rsidR="00150B59" w:rsidRDefault="00150B59">
      <w:pPr>
        <w:jc w:val="both"/>
        <w:rPr>
          <w:sz w:val="22"/>
          <w:szCs w:val="22"/>
        </w:rPr>
      </w:pPr>
    </w:p>
    <w:p w:rsidR="00150B59" w:rsidRDefault="00666799">
      <w:pPr>
        <w:jc w:val="both"/>
        <w:rPr>
          <w:sz w:val="22"/>
          <w:szCs w:val="22"/>
        </w:rPr>
      </w:pPr>
      <w:r>
        <w:rPr>
          <w:sz w:val="22"/>
          <w:szCs w:val="22"/>
        </w:rPr>
        <w:t>En Colombia, este delito creció entre el 2022 y el 2023 un 7.9%, pasando de 9.791 a 10.560 casos en un solo año. El modo predilecto para efectuarlo es a través de la llamada telefónica con 4.513 casos, los cobros directos con un 26% y las redes sociales con un 14.3% completan las modalidades de extorsión. Cabe resaltar que el 40% de las extorsiones se realizan en el país desde centros carcelarios (Fundación PARES).</w:t>
      </w:r>
    </w:p>
    <w:p w:rsidR="00150B59" w:rsidRDefault="00150B59">
      <w:pPr>
        <w:jc w:val="both"/>
        <w:rPr>
          <w:sz w:val="22"/>
          <w:szCs w:val="22"/>
        </w:rPr>
      </w:pPr>
    </w:p>
    <w:p w:rsidR="00150B59" w:rsidRDefault="00666799">
      <w:pPr>
        <w:jc w:val="both"/>
      </w:pPr>
      <w:r>
        <w:rPr>
          <w:sz w:val="22"/>
          <w:szCs w:val="22"/>
        </w:rPr>
        <w:t>Según un artículo de la Fundación PARES, “Bogotá está azotada por la extorsión. En el 2023 aumentó más que en todo el país, un 22%. La presencia de estructuras delincuenciales como El tren de Aragua que opera en localidades del centro, suroriente y suroccidente de la ciudad, donde han intentado establecer zonas de control territorial para asegurar el mercado del microtráfico, así como de la extorsión,  ha generado disputas con otras organizaciones.”</w:t>
      </w:r>
      <w:r>
        <w:rPr>
          <w:sz w:val="22"/>
          <w:szCs w:val="22"/>
          <w:vertAlign w:val="superscript"/>
        </w:rPr>
        <w:footnoteReference w:id="1"/>
      </w:r>
      <w:r>
        <w:rPr>
          <w:sz w:val="22"/>
          <w:szCs w:val="22"/>
          <w:vertAlign w:val="superscript"/>
        </w:rPr>
        <w:t xml:space="preserve">, </w:t>
      </w:r>
      <w:r>
        <w:rPr>
          <w:sz w:val="22"/>
          <w:szCs w:val="22"/>
        </w:rPr>
        <w:t xml:space="preserve"> a la vez que propone un escenario propicio para el aumento en la </w:t>
      </w:r>
      <w:r>
        <w:rPr>
          <w:sz w:val="22"/>
          <w:szCs w:val="22"/>
        </w:rPr>
        <w:lastRenderedPageBreak/>
        <w:t>frecuencia delictiva. Según las cifras de SIEDCO, las localidades con mayor número de casos reportados de extorsión en 2023 fueron Los Mártires, Usaquén, Santa Fe, Kennedy, Bosa y Suba</w:t>
      </w:r>
      <w:r>
        <w:t>.</w:t>
      </w:r>
    </w:p>
    <w:p w:rsidR="00150B59" w:rsidRDefault="00150B59">
      <w:pPr>
        <w:jc w:val="both"/>
      </w:pPr>
    </w:p>
    <w:p w:rsidR="00150B59" w:rsidRDefault="00666799">
      <w:pPr>
        <w:jc w:val="both"/>
        <w:rPr>
          <w:sz w:val="22"/>
          <w:szCs w:val="22"/>
        </w:rPr>
      </w:pPr>
      <w:r>
        <w:rPr>
          <w:sz w:val="22"/>
          <w:szCs w:val="22"/>
        </w:rPr>
        <w:t>Por consiguiente,</w:t>
      </w:r>
      <w:r>
        <w:t xml:space="preserve"> </w:t>
      </w:r>
      <w:r>
        <w:rPr>
          <w:sz w:val="22"/>
          <w:szCs w:val="22"/>
        </w:rPr>
        <w:t>el fortalecimiento a la ruta de atención, facilitaría la coordinación entre las distintas entidades que atienden a las víctimas (policía, fiscalía, la Secretaría de Seguridad, Convivencia y Justicia, instituciones de salud, apoyo psicológico, etc.). Esto, a su vez, optimizará el tiempo de respuesta y la eficacia en el tratamiento de los casos, evitando la dispersión de esfuerzos y recursos.</w:t>
      </w:r>
    </w:p>
    <w:p w:rsidR="00150B59" w:rsidRDefault="00150B59">
      <w:pPr>
        <w:jc w:val="both"/>
      </w:pPr>
    </w:p>
    <w:p w:rsidR="00150B59" w:rsidRDefault="00666799">
      <w:pPr>
        <w:jc w:val="both"/>
        <w:rPr>
          <w:sz w:val="22"/>
          <w:szCs w:val="22"/>
        </w:rPr>
      </w:pPr>
      <w:r>
        <w:rPr>
          <w:sz w:val="22"/>
          <w:szCs w:val="22"/>
        </w:rPr>
        <w:t xml:space="preserve">De esta manera, además de la relación jurídica y penal, es pertinente analizar esta situación desde un punto de vista que contrae consecuencias directas en la regulación del orden social y por ende en la percepción del entorno. De allí, que la extorsión no es solo un delito penal, sino que también afecta la convivencia y por consiguiente la estabilidad de la ciudadanía, en la manera en que esta se convierte en una expresión de la inseguridad ciudadana que, pese a su peligro, tienden a pasar desapercibidos en las acciones legales. </w:t>
      </w:r>
    </w:p>
    <w:p w:rsidR="00150B59" w:rsidRDefault="00150B59">
      <w:pPr>
        <w:jc w:val="both"/>
        <w:rPr>
          <w:sz w:val="22"/>
          <w:szCs w:val="22"/>
        </w:rPr>
      </w:pPr>
    </w:p>
    <w:p w:rsidR="00150B59" w:rsidRDefault="00666799">
      <w:pPr>
        <w:jc w:val="both"/>
        <w:rPr>
          <w:sz w:val="22"/>
          <w:szCs w:val="22"/>
        </w:rPr>
      </w:pPr>
      <w:r>
        <w:rPr>
          <w:sz w:val="22"/>
          <w:szCs w:val="22"/>
        </w:rPr>
        <w:t>Por estas razones, se hace pertinente la implementación del fortalecimiento a una única ruta de atención integral de denuncias para las víctimas de la extorsión de Bogotá, ya que como los autores del proyecto anuncian, “la ciudad necesita tomar acciones urgentes para mejorar las cifras de inseguridad. Más allá de la percepción de seguridad, es necesario divulgar las rutas de atención y protocolos”.</w:t>
      </w:r>
    </w:p>
    <w:p w:rsidR="00150B59" w:rsidRDefault="00150B59">
      <w:pPr>
        <w:jc w:val="both"/>
        <w:rPr>
          <w:sz w:val="22"/>
          <w:szCs w:val="22"/>
        </w:rPr>
      </w:pPr>
    </w:p>
    <w:p w:rsidR="00150B59" w:rsidRDefault="00150B59">
      <w:pPr>
        <w:rPr>
          <w:sz w:val="22"/>
          <w:szCs w:val="22"/>
        </w:rPr>
      </w:pPr>
    </w:p>
    <w:p w:rsidR="00150B59" w:rsidRDefault="00666799">
      <w:pPr>
        <w:numPr>
          <w:ilvl w:val="0"/>
          <w:numId w:val="1"/>
        </w:numPr>
        <w:rPr>
          <w:sz w:val="22"/>
          <w:szCs w:val="22"/>
        </w:rPr>
      </w:pPr>
      <w:r>
        <w:rPr>
          <w:b/>
          <w:sz w:val="22"/>
          <w:szCs w:val="22"/>
          <w:u w:val="single"/>
        </w:rPr>
        <w:t>MARCO JURÍDICO DE LA INICIATIVA</w:t>
      </w:r>
    </w:p>
    <w:p w:rsidR="00150B59" w:rsidRDefault="00150B59">
      <w:pPr>
        <w:jc w:val="both"/>
        <w:rPr>
          <w:b/>
          <w:sz w:val="22"/>
          <w:szCs w:val="22"/>
        </w:rPr>
      </w:pPr>
    </w:p>
    <w:p w:rsidR="00150B59" w:rsidRDefault="00666799">
      <w:pPr>
        <w:numPr>
          <w:ilvl w:val="0"/>
          <w:numId w:val="3"/>
        </w:numPr>
        <w:jc w:val="both"/>
        <w:rPr>
          <w:b/>
          <w:sz w:val="22"/>
          <w:szCs w:val="22"/>
        </w:rPr>
      </w:pPr>
      <w:r>
        <w:rPr>
          <w:b/>
          <w:sz w:val="22"/>
          <w:szCs w:val="22"/>
          <w:u w:val="single"/>
        </w:rPr>
        <w:t>ORDEN CONSTITUCIONAL</w:t>
      </w:r>
    </w:p>
    <w:p w:rsidR="00150B59" w:rsidRDefault="00150B59">
      <w:pPr>
        <w:jc w:val="both"/>
        <w:rPr>
          <w:b/>
          <w:sz w:val="22"/>
          <w:szCs w:val="22"/>
        </w:rPr>
      </w:pPr>
    </w:p>
    <w:p w:rsidR="00150B59" w:rsidRDefault="00666799">
      <w:pPr>
        <w:jc w:val="both"/>
        <w:rPr>
          <w:b/>
          <w:sz w:val="22"/>
          <w:szCs w:val="22"/>
          <w:u w:val="single"/>
        </w:rPr>
      </w:pPr>
      <w:r>
        <w:rPr>
          <w:sz w:val="22"/>
          <w:szCs w:val="22"/>
        </w:rPr>
        <w:t>La Constitución Política de Colombia protege los derechos fundamentales de las personas y por esta razón se toma a consideración citar los siguientes artículos:</w:t>
      </w:r>
    </w:p>
    <w:p w:rsidR="00150B59" w:rsidRDefault="00150B59">
      <w:pPr>
        <w:jc w:val="both"/>
        <w:rPr>
          <w:b/>
          <w:sz w:val="22"/>
          <w:szCs w:val="22"/>
          <w:u w:val="single"/>
        </w:rPr>
      </w:pPr>
    </w:p>
    <w:p w:rsidR="00150B59" w:rsidRDefault="00666799">
      <w:pPr>
        <w:ind w:left="102"/>
        <w:rPr>
          <w:rFonts w:ascii="Times New Roman" w:eastAsia="Times New Roman" w:hAnsi="Times New Roman" w:cs="Times New Roman"/>
        </w:rPr>
      </w:pPr>
      <w:r>
        <w:rPr>
          <w:sz w:val="22"/>
          <w:szCs w:val="22"/>
        </w:rPr>
        <w:t>En el Título I “De los principios fundamentales”, expresa lo siguiente:</w:t>
      </w:r>
    </w:p>
    <w:p w:rsidR="00150B59" w:rsidRDefault="00150B59">
      <w:pPr>
        <w:rPr>
          <w:rFonts w:ascii="Times New Roman" w:eastAsia="Times New Roman" w:hAnsi="Times New Roman" w:cs="Times New Roman"/>
        </w:rPr>
      </w:pPr>
    </w:p>
    <w:p w:rsidR="00150B59" w:rsidRDefault="00666799">
      <w:pPr>
        <w:ind w:right="498"/>
        <w:jc w:val="both"/>
        <w:rPr>
          <w:sz w:val="22"/>
          <w:szCs w:val="22"/>
        </w:rPr>
      </w:pPr>
      <w:r>
        <w:rPr>
          <w:b/>
          <w:sz w:val="22"/>
          <w:szCs w:val="22"/>
        </w:rPr>
        <w:t>Artículo 1</w:t>
      </w:r>
      <w:r>
        <w:rPr>
          <w:sz w:val="22"/>
          <w:szCs w:val="22"/>
        </w:rPr>
        <w:t>.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rsidR="00150B59" w:rsidRDefault="00150B59">
      <w:pPr>
        <w:jc w:val="both"/>
        <w:rPr>
          <w:sz w:val="22"/>
          <w:szCs w:val="22"/>
        </w:rPr>
      </w:pPr>
    </w:p>
    <w:p w:rsidR="00150B59" w:rsidRDefault="00666799">
      <w:pPr>
        <w:ind w:right="495"/>
        <w:jc w:val="both"/>
        <w:rPr>
          <w:sz w:val="22"/>
          <w:szCs w:val="22"/>
        </w:rPr>
      </w:pPr>
      <w:r>
        <w:rPr>
          <w:b/>
          <w:sz w:val="22"/>
          <w:szCs w:val="22"/>
        </w:rPr>
        <w:t>Artículo 2.</w:t>
      </w:r>
      <w:r>
        <w:rPr>
          <w:sz w:val="22"/>
          <w:szCs w:val="22"/>
        </w:rPr>
        <w:t xml:space="preserve"> Son fines esenciales del Estado: servir a la comunidad, promover la prosperidad general y garantizar la efectividad de los principios, derechos y deberes consagrados en la Constitución; (…) asegurar la convivencia pacífica y la vigencia de un orden justo. Las Autoridades de la República están instituidas para proteger a todas </w:t>
      </w:r>
      <w:r>
        <w:rPr>
          <w:sz w:val="22"/>
          <w:szCs w:val="22"/>
        </w:rPr>
        <w:lastRenderedPageBreak/>
        <w:t>las personas residentes en Colombia, en su vida, honra, bienes, creencias y demás derechos y libertades, y para asegurar el cumplimiento de los deberes sociales del Estado y de los particulares.</w:t>
      </w:r>
    </w:p>
    <w:p w:rsidR="00150B59" w:rsidRDefault="00150B59">
      <w:pPr>
        <w:jc w:val="both"/>
        <w:rPr>
          <w:sz w:val="22"/>
          <w:szCs w:val="22"/>
        </w:rPr>
      </w:pPr>
    </w:p>
    <w:p w:rsidR="00150B59" w:rsidRDefault="00666799">
      <w:pPr>
        <w:jc w:val="both"/>
        <w:rPr>
          <w:sz w:val="22"/>
          <w:szCs w:val="22"/>
        </w:rPr>
      </w:pPr>
      <w:r>
        <w:rPr>
          <w:b/>
          <w:sz w:val="22"/>
          <w:szCs w:val="22"/>
        </w:rPr>
        <w:t>Artículo 11.</w:t>
      </w:r>
      <w:r>
        <w:rPr>
          <w:sz w:val="22"/>
          <w:szCs w:val="22"/>
        </w:rPr>
        <w:t xml:space="preserve"> El derecho a la vida es inviolable. No habrá pena de muerte.</w:t>
      </w:r>
      <w:r>
        <w:rPr>
          <w:sz w:val="22"/>
          <w:szCs w:val="22"/>
        </w:rPr>
        <w:br/>
      </w:r>
    </w:p>
    <w:p w:rsidR="00150B59" w:rsidRDefault="00666799">
      <w:pPr>
        <w:spacing w:before="94"/>
        <w:ind w:right="495"/>
        <w:jc w:val="both"/>
        <w:rPr>
          <w:sz w:val="22"/>
          <w:szCs w:val="22"/>
        </w:rPr>
      </w:pPr>
      <w:r>
        <w:rPr>
          <w:b/>
          <w:sz w:val="22"/>
          <w:szCs w:val="22"/>
        </w:rPr>
        <w:t>Artículo 12</w:t>
      </w:r>
      <w:r>
        <w:rPr>
          <w:sz w:val="22"/>
          <w:szCs w:val="22"/>
        </w:rPr>
        <w:t>. Nadie será sometido a desaparición forzada, a torturas ni a tratos o penas crueles, inhumanos o degradantes.</w:t>
      </w:r>
    </w:p>
    <w:p w:rsidR="00150B59" w:rsidRDefault="00150B59">
      <w:pPr>
        <w:jc w:val="both"/>
        <w:rPr>
          <w:sz w:val="22"/>
          <w:szCs w:val="22"/>
        </w:rPr>
      </w:pPr>
    </w:p>
    <w:p w:rsidR="00150B59" w:rsidRDefault="00666799">
      <w:pPr>
        <w:ind w:right="496"/>
        <w:jc w:val="both"/>
        <w:rPr>
          <w:rFonts w:ascii="Times New Roman" w:eastAsia="Times New Roman" w:hAnsi="Times New Roman" w:cs="Times New Roman"/>
        </w:rPr>
      </w:pPr>
      <w:r>
        <w:rPr>
          <w:b/>
          <w:sz w:val="22"/>
          <w:szCs w:val="22"/>
        </w:rPr>
        <w:t>Artículo 13</w:t>
      </w:r>
      <w:r>
        <w:rPr>
          <w:sz w:val="22"/>
          <w:szCs w:val="22"/>
        </w:rPr>
        <w:t>.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w:t>
      </w:r>
      <w:r>
        <w:rPr>
          <w:i/>
          <w:sz w:val="22"/>
          <w:szCs w:val="22"/>
        </w:rPr>
        <w:t xml:space="preserve"> filosófica. El Estado promoverá las condiciones para que la igualdad sea real y efectiva y adoptará medidas en favor de grupos discriminados o marginados. El Estado protegerá especialmente a aquellas personas que, por su condición económica, física o mental, se encuentren en circunstancia de debilidad manifiesta y sancionará los abusos o maltratos que contra ellas se cometan.</w:t>
      </w:r>
    </w:p>
    <w:p w:rsidR="00150B59" w:rsidRDefault="00150B59">
      <w:pPr>
        <w:rPr>
          <w:rFonts w:ascii="Times New Roman" w:eastAsia="Times New Roman" w:hAnsi="Times New Roman" w:cs="Times New Roman"/>
        </w:rPr>
      </w:pPr>
    </w:p>
    <w:p w:rsidR="00150B59" w:rsidRDefault="00666799">
      <w:pPr>
        <w:ind w:right="499"/>
        <w:jc w:val="both"/>
        <w:rPr>
          <w:rFonts w:ascii="Times New Roman" w:eastAsia="Times New Roman" w:hAnsi="Times New Roman" w:cs="Times New Roman"/>
        </w:rPr>
      </w:pPr>
      <w:r>
        <w:rPr>
          <w:b/>
          <w:i/>
          <w:sz w:val="22"/>
          <w:szCs w:val="22"/>
        </w:rPr>
        <w:t xml:space="preserve">Artículo 21. </w:t>
      </w:r>
      <w:r>
        <w:rPr>
          <w:i/>
          <w:sz w:val="22"/>
          <w:szCs w:val="22"/>
        </w:rPr>
        <w:t>Se garantiza el derecho a la honra. La ley señalará la forma de su protección.</w:t>
      </w:r>
    </w:p>
    <w:p w:rsidR="00150B59" w:rsidRDefault="00150B59">
      <w:pPr>
        <w:rPr>
          <w:rFonts w:ascii="Times New Roman" w:eastAsia="Times New Roman" w:hAnsi="Times New Roman" w:cs="Times New Roman"/>
        </w:rPr>
      </w:pPr>
    </w:p>
    <w:p w:rsidR="00150B59" w:rsidRDefault="00666799">
      <w:pPr>
        <w:ind w:right="498"/>
        <w:jc w:val="both"/>
        <w:rPr>
          <w:rFonts w:ascii="Times New Roman" w:eastAsia="Times New Roman" w:hAnsi="Times New Roman" w:cs="Times New Roman"/>
        </w:rPr>
      </w:pPr>
      <w:r>
        <w:rPr>
          <w:b/>
          <w:i/>
          <w:sz w:val="22"/>
          <w:szCs w:val="22"/>
        </w:rPr>
        <w:t xml:space="preserve">Artículo 42. </w:t>
      </w:r>
      <w:r>
        <w:rPr>
          <w:i/>
          <w:sz w:val="22"/>
          <w:szCs w:val="22"/>
        </w:rPr>
        <w:t>La familia es el núcleo fundamental de la sociedad. Se constituye por vínculos naturales o jurídicos, por la decisión libre de un hombre y una mujer de contraer matrimonio o por la voluntad responsable de conformar. El Estado y la sociedad garantizan la protección integral de la familia. La ley podrá determinar el patrimonio familiar inalienable e inembargable. La honra, la dignidad y la intimidad de la familia son inviolables.</w:t>
      </w:r>
      <w:r>
        <w:rPr>
          <w:sz w:val="22"/>
          <w:szCs w:val="22"/>
        </w:rPr>
        <w:t>”</w:t>
      </w:r>
    </w:p>
    <w:p w:rsidR="00150B59" w:rsidRDefault="00150B59">
      <w:pPr>
        <w:jc w:val="both"/>
        <w:rPr>
          <w:b/>
          <w:sz w:val="22"/>
          <w:szCs w:val="22"/>
        </w:rPr>
      </w:pPr>
    </w:p>
    <w:p w:rsidR="00150B59" w:rsidRDefault="00150B59">
      <w:pPr>
        <w:jc w:val="both"/>
        <w:rPr>
          <w:sz w:val="22"/>
          <w:szCs w:val="22"/>
        </w:rPr>
      </w:pPr>
    </w:p>
    <w:p w:rsidR="00150B59" w:rsidRDefault="00666799">
      <w:pPr>
        <w:numPr>
          <w:ilvl w:val="0"/>
          <w:numId w:val="7"/>
        </w:numPr>
        <w:jc w:val="both"/>
        <w:rPr>
          <w:b/>
          <w:sz w:val="22"/>
          <w:szCs w:val="22"/>
        </w:rPr>
      </w:pPr>
      <w:r>
        <w:rPr>
          <w:b/>
          <w:sz w:val="22"/>
          <w:szCs w:val="22"/>
          <w:u w:val="single"/>
        </w:rPr>
        <w:t>ORDEN LEGISLATIVO</w:t>
      </w:r>
    </w:p>
    <w:p w:rsidR="00150B59" w:rsidRDefault="00150B59">
      <w:pPr>
        <w:jc w:val="both"/>
        <w:rPr>
          <w:sz w:val="22"/>
          <w:szCs w:val="22"/>
        </w:rPr>
      </w:pPr>
    </w:p>
    <w:p w:rsidR="00150B59" w:rsidRDefault="00666799">
      <w:pPr>
        <w:jc w:val="both"/>
        <w:rPr>
          <w:b/>
          <w:sz w:val="22"/>
          <w:szCs w:val="22"/>
        </w:rPr>
      </w:pPr>
      <w:r>
        <w:rPr>
          <w:b/>
          <w:sz w:val="22"/>
          <w:szCs w:val="22"/>
        </w:rPr>
        <w:t>LEY 1801 de 2016 “POR LA CUAL SE EXPIDE EL CÓDIGO NACIONAL DE CONVIVENCIA Y CIUDADANA”</w:t>
      </w:r>
    </w:p>
    <w:p w:rsidR="00150B59" w:rsidRDefault="00150B59">
      <w:pPr>
        <w:jc w:val="both"/>
        <w:rPr>
          <w:sz w:val="22"/>
          <w:szCs w:val="22"/>
        </w:rPr>
      </w:pPr>
    </w:p>
    <w:p w:rsidR="00150B59" w:rsidRDefault="00666799">
      <w:pPr>
        <w:pBdr>
          <w:top w:val="nil"/>
          <w:left w:val="nil"/>
          <w:bottom w:val="nil"/>
          <w:right w:val="nil"/>
          <w:between w:val="nil"/>
        </w:pBdr>
        <w:ind w:right="496"/>
        <w:jc w:val="both"/>
        <w:rPr>
          <w:i/>
          <w:sz w:val="22"/>
          <w:szCs w:val="22"/>
        </w:rPr>
      </w:pPr>
      <w:r>
        <w:rPr>
          <w:b/>
          <w:i/>
          <w:sz w:val="22"/>
          <w:szCs w:val="22"/>
        </w:rPr>
        <w:t>Artículo 1. Objeto</w:t>
      </w:r>
      <w:r>
        <w:rPr>
          <w:i/>
          <w:sz w:val="22"/>
          <w:szCs w:val="22"/>
        </w:rPr>
        <w:t>. Las disposiciones previstas en este Código son de carácter preventivo y buscan establecer las condiciones para la convivencia en el territorio nacional al propiciar el cumplimiento de los deberes y obligaciones de las personas naturales y jurídicas, así como determinar el ejercicio del poder, la función y la actividad de Policía, de conformidad con la Constitución Política y el ordenamiento jurídico vigente.</w:t>
      </w:r>
    </w:p>
    <w:p w:rsidR="00150B59" w:rsidRDefault="00150B59">
      <w:pPr>
        <w:rPr>
          <w:i/>
          <w:sz w:val="22"/>
          <w:szCs w:val="22"/>
        </w:rPr>
      </w:pPr>
    </w:p>
    <w:p w:rsidR="00150B59" w:rsidRDefault="00666799">
      <w:pPr>
        <w:pBdr>
          <w:top w:val="nil"/>
          <w:left w:val="nil"/>
          <w:bottom w:val="nil"/>
          <w:right w:val="nil"/>
          <w:between w:val="nil"/>
        </w:pBdr>
        <w:ind w:right="499"/>
        <w:jc w:val="both"/>
        <w:rPr>
          <w:i/>
          <w:sz w:val="22"/>
          <w:szCs w:val="22"/>
        </w:rPr>
      </w:pPr>
      <w:r>
        <w:rPr>
          <w:i/>
          <w:sz w:val="22"/>
          <w:szCs w:val="22"/>
        </w:rPr>
        <w:lastRenderedPageBreak/>
        <w:t>Así mismo, en el “Título III del Derecho de las personas a la seguridad y a la de sus bienes”, Capítulo I “Vida e Integridad de las personas”, destaca que:</w:t>
      </w:r>
      <w:r>
        <w:rPr>
          <w:i/>
          <w:sz w:val="22"/>
          <w:szCs w:val="22"/>
        </w:rPr>
        <w:br/>
      </w:r>
    </w:p>
    <w:p w:rsidR="00150B59" w:rsidRDefault="00666799">
      <w:pPr>
        <w:pBdr>
          <w:top w:val="nil"/>
          <w:left w:val="nil"/>
          <w:bottom w:val="nil"/>
          <w:right w:val="nil"/>
          <w:between w:val="nil"/>
        </w:pBdr>
        <w:ind w:right="499"/>
        <w:jc w:val="both"/>
        <w:rPr>
          <w:i/>
          <w:sz w:val="22"/>
          <w:szCs w:val="22"/>
        </w:rPr>
      </w:pPr>
      <w:r>
        <w:rPr>
          <w:b/>
          <w:i/>
          <w:sz w:val="22"/>
          <w:szCs w:val="22"/>
        </w:rPr>
        <w:t>Artículo 27. Comportamientos que ponen en riesgo la vida e integridad</w:t>
      </w:r>
      <w:r>
        <w:rPr>
          <w:i/>
          <w:sz w:val="22"/>
          <w:szCs w:val="22"/>
        </w:rPr>
        <w:t>. Los siguientes comportamientos ponen en riesgo la vida e integridad de las personas en donde se describen las acciones que deben ser sancionadas en beneficio de los ciudadanos.</w:t>
      </w:r>
    </w:p>
    <w:p w:rsidR="00150B59" w:rsidRDefault="00150B59">
      <w:pPr>
        <w:rPr>
          <w:i/>
          <w:sz w:val="22"/>
          <w:szCs w:val="22"/>
        </w:rPr>
      </w:pPr>
    </w:p>
    <w:p w:rsidR="00150B59" w:rsidRDefault="00666799">
      <w:pPr>
        <w:pBdr>
          <w:top w:val="nil"/>
          <w:left w:val="nil"/>
          <w:bottom w:val="nil"/>
          <w:right w:val="nil"/>
          <w:between w:val="nil"/>
        </w:pBdr>
        <w:spacing w:before="1"/>
        <w:rPr>
          <w:i/>
          <w:sz w:val="22"/>
          <w:szCs w:val="22"/>
        </w:rPr>
      </w:pPr>
      <w:r>
        <w:rPr>
          <w:i/>
          <w:sz w:val="22"/>
          <w:szCs w:val="22"/>
        </w:rPr>
        <w:t>(…)</w:t>
      </w:r>
    </w:p>
    <w:p w:rsidR="00150B59" w:rsidRDefault="00666799">
      <w:pPr>
        <w:pBdr>
          <w:top w:val="nil"/>
          <w:left w:val="nil"/>
          <w:bottom w:val="nil"/>
          <w:right w:val="nil"/>
          <w:between w:val="nil"/>
        </w:pBdr>
        <w:rPr>
          <w:i/>
          <w:sz w:val="22"/>
          <w:szCs w:val="22"/>
        </w:rPr>
      </w:pPr>
      <w:r>
        <w:rPr>
          <w:i/>
          <w:sz w:val="22"/>
          <w:szCs w:val="22"/>
        </w:rPr>
        <w:t>4. Amenazar con causar un daño físico a personas por cualquier medio.</w:t>
      </w:r>
    </w:p>
    <w:p w:rsidR="00150B59" w:rsidRDefault="00666799">
      <w:pPr>
        <w:pBdr>
          <w:top w:val="nil"/>
          <w:left w:val="nil"/>
          <w:bottom w:val="nil"/>
          <w:right w:val="nil"/>
          <w:between w:val="nil"/>
        </w:pBdr>
        <w:rPr>
          <w:i/>
          <w:sz w:val="22"/>
          <w:szCs w:val="22"/>
        </w:rPr>
      </w:pPr>
      <w:r>
        <w:rPr>
          <w:i/>
          <w:sz w:val="22"/>
          <w:szCs w:val="22"/>
        </w:rPr>
        <w:t>(…)”</w:t>
      </w:r>
    </w:p>
    <w:p w:rsidR="00150B59" w:rsidRDefault="00150B59">
      <w:pPr>
        <w:pBdr>
          <w:top w:val="nil"/>
          <w:left w:val="nil"/>
          <w:bottom w:val="nil"/>
          <w:right w:val="nil"/>
          <w:between w:val="nil"/>
        </w:pBdr>
        <w:rPr>
          <w:i/>
          <w:sz w:val="22"/>
          <w:szCs w:val="22"/>
        </w:rPr>
      </w:pPr>
    </w:p>
    <w:p w:rsidR="00150B59" w:rsidRDefault="00150B59">
      <w:pPr>
        <w:pBdr>
          <w:top w:val="nil"/>
          <w:left w:val="nil"/>
          <w:bottom w:val="nil"/>
          <w:right w:val="nil"/>
          <w:between w:val="nil"/>
        </w:pBdr>
        <w:rPr>
          <w:i/>
          <w:sz w:val="22"/>
          <w:szCs w:val="22"/>
        </w:rPr>
      </w:pPr>
    </w:p>
    <w:p w:rsidR="00150B59" w:rsidRDefault="00666799">
      <w:pPr>
        <w:pBdr>
          <w:top w:val="nil"/>
          <w:left w:val="nil"/>
          <w:bottom w:val="nil"/>
          <w:right w:val="nil"/>
          <w:between w:val="nil"/>
        </w:pBdr>
        <w:ind w:right="497"/>
        <w:jc w:val="both"/>
        <w:rPr>
          <w:b/>
          <w:i/>
          <w:sz w:val="22"/>
          <w:szCs w:val="22"/>
        </w:rPr>
      </w:pPr>
      <w:r>
        <w:rPr>
          <w:b/>
          <w:sz w:val="22"/>
          <w:szCs w:val="22"/>
        </w:rPr>
        <w:t xml:space="preserve">LEY </w:t>
      </w:r>
      <w:r>
        <w:rPr>
          <w:b/>
          <w:i/>
          <w:sz w:val="22"/>
          <w:szCs w:val="22"/>
        </w:rPr>
        <w:t>733 de 2002. “Por medio de la cual se dictan medidas tendientes a erradicar los delitos de secuestro, terrorismo y extorsión, y se expiden otras disposiciones”.</w:t>
      </w:r>
    </w:p>
    <w:p w:rsidR="00150B59" w:rsidRDefault="00150B59">
      <w:pPr>
        <w:rPr>
          <w:sz w:val="22"/>
          <w:szCs w:val="22"/>
        </w:rPr>
      </w:pPr>
    </w:p>
    <w:p w:rsidR="00150B59" w:rsidRDefault="00666799">
      <w:pPr>
        <w:pBdr>
          <w:top w:val="nil"/>
          <w:left w:val="nil"/>
          <w:bottom w:val="nil"/>
          <w:right w:val="nil"/>
          <w:between w:val="nil"/>
        </w:pBdr>
        <w:rPr>
          <w:sz w:val="22"/>
          <w:szCs w:val="22"/>
        </w:rPr>
      </w:pPr>
      <w:r>
        <w:rPr>
          <w:b/>
          <w:sz w:val="22"/>
          <w:szCs w:val="22"/>
        </w:rPr>
        <w:t>Artículo 5.</w:t>
      </w:r>
      <w:r>
        <w:rPr>
          <w:sz w:val="22"/>
          <w:szCs w:val="22"/>
        </w:rPr>
        <w:t xml:space="preserve"> El artículo </w:t>
      </w:r>
      <w:hyperlink r:id="rId10">
        <w:r>
          <w:rPr>
            <w:rFonts w:ascii="Times New Roman" w:eastAsia="Times New Roman" w:hAnsi="Times New Roman" w:cs="Times New Roman"/>
          </w:rPr>
          <w:t xml:space="preserve">244 </w:t>
        </w:r>
      </w:hyperlink>
      <w:r>
        <w:rPr>
          <w:sz w:val="22"/>
          <w:szCs w:val="22"/>
        </w:rPr>
        <w:t>de la Ley 599 de 2000, quedará así:</w:t>
      </w:r>
    </w:p>
    <w:p w:rsidR="00150B59" w:rsidRDefault="00150B59">
      <w:pPr>
        <w:rPr>
          <w:sz w:val="22"/>
          <w:szCs w:val="22"/>
        </w:rPr>
      </w:pPr>
    </w:p>
    <w:p w:rsidR="00150B59" w:rsidRDefault="00666799">
      <w:pPr>
        <w:pBdr>
          <w:top w:val="nil"/>
          <w:left w:val="nil"/>
          <w:bottom w:val="nil"/>
          <w:right w:val="nil"/>
          <w:between w:val="nil"/>
        </w:pBdr>
        <w:ind w:right="495"/>
        <w:jc w:val="both"/>
        <w:rPr>
          <w:sz w:val="22"/>
          <w:szCs w:val="22"/>
        </w:rPr>
      </w:pPr>
      <w:r>
        <w:rPr>
          <w:sz w:val="22"/>
          <w:szCs w:val="22"/>
        </w:rPr>
        <w:t>Extorsión. El que constriña a otro a hacer, tolerar u omitir alguna cosa, con el propósito de obtener provecho ilícito o cualquier utilidad ilícita o beneficio ilícito, para sí o para un tercero, incurrirá en prisión de doce (12) a dieciséis (16) años y multa de seiscientos (600) a mil doscientos (1.200) salarios mínimos legales mensuales vigentes.”</w:t>
      </w:r>
    </w:p>
    <w:p w:rsidR="00150B59" w:rsidRDefault="00150B59">
      <w:pPr>
        <w:jc w:val="both"/>
        <w:rPr>
          <w:sz w:val="22"/>
          <w:szCs w:val="22"/>
        </w:rPr>
      </w:pPr>
    </w:p>
    <w:p w:rsidR="00150B59" w:rsidRDefault="00666799">
      <w:pPr>
        <w:spacing w:before="1"/>
        <w:rPr>
          <w:b/>
          <w:sz w:val="22"/>
          <w:szCs w:val="22"/>
        </w:rPr>
      </w:pPr>
      <w:r>
        <w:rPr>
          <w:b/>
          <w:sz w:val="22"/>
          <w:szCs w:val="22"/>
        </w:rPr>
        <w:t>LEY 599 de 2000 “Por la cual se expide el Código Penal”.</w:t>
      </w:r>
    </w:p>
    <w:p w:rsidR="00150B59" w:rsidRDefault="00150B59">
      <w:pPr>
        <w:rPr>
          <w:rFonts w:ascii="Times New Roman" w:eastAsia="Times New Roman" w:hAnsi="Times New Roman" w:cs="Times New Roman"/>
        </w:rPr>
      </w:pPr>
    </w:p>
    <w:p w:rsidR="00150B59" w:rsidRDefault="00666799">
      <w:pPr>
        <w:spacing w:before="1"/>
        <w:ind w:right="495"/>
        <w:rPr>
          <w:rFonts w:ascii="Times New Roman" w:eastAsia="Times New Roman" w:hAnsi="Times New Roman" w:cs="Times New Roman"/>
        </w:rPr>
      </w:pPr>
      <w:r>
        <w:rPr>
          <w:b/>
          <w:sz w:val="22"/>
          <w:szCs w:val="22"/>
        </w:rPr>
        <w:t>Artículo 1.</w:t>
      </w:r>
      <w:r>
        <w:rPr>
          <w:b/>
          <w:i/>
          <w:sz w:val="22"/>
          <w:szCs w:val="22"/>
        </w:rPr>
        <w:t xml:space="preserve"> </w:t>
      </w:r>
      <w:r>
        <w:rPr>
          <w:i/>
          <w:sz w:val="22"/>
          <w:szCs w:val="22"/>
        </w:rPr>
        <w:t>Dignidad humana. El derecho penal tendrá como fundamento el respeto a la dignidad humana.com</w:t>
      </w:r>
    </w:p>
    <w:p w:rsidR="00150B59" w:rsidRDefault="00666799">
      <w:pPr>
        <w:jc w:val="both"/>
        <w:rPr>
          <w:sz w:val="22"/>
          <w:szCs w:val="22"/>
        </w:rPr>
      </w:pPr>
      <w:r>
        <w:rPr>
          <w:rFonts w:ascii="Times New Roman" w:eastAsia="Times New Roman" w:hAnsi="Times New Roman" w:cs="Times New Roman"/>
        </w:rPr>
        <w:t>com</w:t>
      </w:r>
      <w:r>
        <w:rPr>
          <w:rFonts w:ascii="Times New Roman" w:eastAsia="Times New Roman" w:hAnsi="Times New Roman" w:cs="Times New Roman"/>
        </w:rPr>
        <w:br/>
      </w:r>
      <w:r>
        <w:rPr>
          <w:b/>
          <w:i/>
          <w:sz w:val="22"/>
          <w:szCs w:val="22"/>
        </w:rPr>
        <w:t>Artículo 244</w:t>
      </w:r>
      <w:r>
        <w:rPr>
          <w:i/>
          <w:sz w:val="22"/>
          <w:szCs w:val="22"/>
        </w:rPr>
        <w:t>. Extorsión. El que constriña a otro a hacer, tolerar u omitir alguna cosa, con el propósito de obtener provecho ilícito para sí o para un tercero, incurrirá en prisión de Ciento Noventa y Dos (192) a Doscientos Ochenta y Dos Meses (282) meses y multa de ochocientos (800) a Mil ochocientos (1.800) salarios mínimos legales vigentes.”</w:t>
      </w:r>
      <w:r>
        <w:rPr>
          <w:sz w:val="22"/>
          <w:szCs w:val="22"/>
        </w:rPr>
        <w:t>.</w:t>
      </w:r>
    </w:p>
    <w:p w:rsidR="00150B59" w:rsidRDefault="00150B59">
      <w:pPr>
        <w:jc w:val="both"/>
        <w:rPr>
          <w:sz w:val="22"/>
          <w:szCs w:val="22"/>
        </w:rPr>
      </w:pPr>
    </w:p>
    <w:p w:rsidR="00150B59" w:rsidRDefault="00666799">
      <w:pPr>
        <w:numPr>
          <w:ilvl w:val="0"/>
          <w:numId w:val="6"/>
        </w:numPr>
        <w:jc w:val="both"/>
        <w:rPr>
          <w:b/>
          <w:sz w:val="22"/>
          <w:szCs w:val="22"/>
        </w:rPr>
      </w:pPr>
      <w:r>
        <w:rPr>
          <w:b/>
          <w:sz w:val="22"/>
          <w:szCs w:val="22"/>
          <w:u w:val="single"/>
        </w:rPr>
        <w:t>ORDEN NORMATIVO</w:t>
      </w:r>
    </w:p>
    <w:p w:rsidR="00150B59" w:rsidRDefault="00666799">
      <w:pPr>
        <w:pBdr>
          <w:top w:val="nil"/>
          <w:left w:val="nil"/>
          <w:bottom w:val="nil"/>
          <w:right w:val="nil"/>
          <w:between w:val="nil"/>
        </w:pBdr>
        <w:spacing w:before="160"/>
        <w:ind w:right="497"/>
        <w:jc w:val="both"/>
        <w:rPr>
          <w:b/>
          <w:sz w:val="22"/>
          <w:szCs w:val="22"/>
        </w:rPr>
      </w:pPr>
      <w:r>
        <w:rPr>
          <w:b/>
          <w:sz w:val="22"/>
          <w:szCs w:val="22"/>
        </w:rPr>
        <w:t>ACUERDO 079 de 2003, Por el cual se expide el Código de Policía de Bogotá, D.C., para la garantía del derecho a la vida, seguridad, salud, patrimonio económico, libertad e integridad.</w:t>
      </w:r>
    </w:p>
    <w:p w:rsidR="00150B59" w:rsidRDefault="00666799">
      <w:pPr>
        <w:spacing w:before="163"/>
        <w:rPr>
          <w:rFonts w:ascii="Times New Roman" w:eastAsia="Times New Roman" w:hAnsi="Times New Roman" w:cs="Times New Roman"/>
        </w:rPr>
      </w:pPr>
      <w:r>
        <w:rPr>
          <w:sz w:val="22"/>
          <w:szCs w:val="22"/>
        </w:rPr>
        <w:t xml:space="preserve">Este Código tiene por objeto regular el ejercicio de los derechos y libertades ciudadanas de acuerdo con la Constitución y la Ley, con fines de convivencia ciudadana. Establece reglas de comportamiento para la convivencia que deben respetarse en el Distrito Capital </w:t>
      </w:r>
      <w:r>
        <w:rPr>
          <w:sz w:val="22"/>
          <w:szCs w:val="22"/>
        </w:rPr>
        <w:lastRenderedPageBreak/>
        <w:t>de Bogotá. En el apartado 1</w:t>
      </w:r>
      <w:r>
        <w:rPr>
          <w:i/>
          <w:sz w:val="22"/>
          <w:szCs w:val="22"/>
        </w:rPr>
        <w:t>.2. Valores fundamentales para la convivencia ciudadana</w:t>
      </w:r>
      <w:r>
        <w:rPr>
          <w:sz w:val="22"/>
          <w:szCs w:val="22"/>
        </w:rPr>
        <w:t>: expresa la importancia de la confianza como fundamento de la seguridad.</w:t>
      </w:r>
    </w:p>
    <w:p w:rsidR="00150B59" w:rsidRDefault="00150B59">
      <w:pPr>
        <w:jc w:val="both"/>
        <w:rPr>
          <w:b/>
          <w:sz w:val="22"/>
          <w:szCs w:val="22"/>
        </w:rPr>
      </w:pPr>
    </w:p>
    <w:p w:rsidR="00150B59" w:rsidRDefault="00666799">
      <w:pPr>
        <w:numPr>
          <w:ilvl w:val="0"/>
          <w:numId w:val="1"/>
        </w:numPr>
        <w:jc w:val="both"/>
        <w:rPr>
          <w:sz w:val="22"/>
          <w:szCs w:val="22"/>
        </w:rPr>
      </w:pPr>
      <w:r>
        <w:rPr>
          <w:b/>
          <w:sz w:val="22"/>
          <w:szCs w:val="22"/>
          <w:u w:val="single"/>
        </w:rPr>
        <w:t>COMPETENCIA DEL CONCEJO DE BOGOTÁ</w:t>
      </w:r>
    </w:p>
    <w:p w:rsidR="00150B59" w:rsidRDefault="00150B59">
      <w:pPr>
        <w:jc w:val="both"/>
        <w:rPr>
          <w:b/>
          <w:sz w:val="22"/>
          <w:szCs w:val="22"/>
          <w:u w:val="single"/>
        </w:rPr>
      </w:pPr>
    </w:p>
    <w:p w:rsidR="00150B59" w:rsidRDefault="00150B59">
      <w:pPr>
        <w:jc w:val="both"/>
        <w:rPr>
          <w:b/>
          <w:sz w:val="22"/>
          <w:szCs w:val="22"/>
          <w:u w:val="single"/>
        </w:rPr>
      </w:pPr>
    </w:p>
    <w:p w:rsidR="00150B59" w:rsidRDefault="00666799">
      <w:pPr>
        <w:jc w:val="both"/>
        <w:rPr>
          <w:b/>
          <w:sz w:val="22"/>
          <w:szCs w:val="22"/>
          <w:u w:val="single"/>
        </w:rPr>
      </w:pPr>
      <w:r>
        <w:rPr>
          <w:b/>
          <w:sz w:val="22"/>
          <w:szCs w:val="22"/>
          <w:u w:val="single"/>
        </w:rPr>
        <w:t>DECRETO LEY 1421 de 1993 “Estatuto Orgánico de Bogotá”</w:t>
      </w:r>
    </w:p>
    <w:p w:rsidR="00150B59" w:rsidRDefault="00150B59">
      <w:pPr>
        <w:jc w:val="both"/>
        <w:rPr>
          <w:b/>
          <w:sz w:val="22"/>
          <w:szCs w:val="22"/>
        </w:rPr>
      </w:pPr>
    </w:p>
    <w:p w:rsidR="00150B59" w:rsidRDefault="00666799">
      <w:pPr>
        <w:jc w:val="both"/>
        <w:rPr>
          <w:sz w:val="22"/>
          <w:szCs w:val="22"/>
        </w:rPr>
      </w:pPr>
      <w:r>
        <w:rPr>
          <w:b/>
          <w:sz w:val="22"/>
          <w:szCs w:val="22"/>
        </w:rPr>
        <w:t xml:space="preserve">Artículo 12. </w:t>
      </w:r>
      <w:r>
        <w:rPr>
          <w:sz w:val="22"/>
          <w:szCs w:val="22"/>
        </w:rPr>
        <w:t>Atribuciones. Corresponde al Concejo Distrital, de conformidad con la Constitución y la ley: (...)</w:t>
      </w:r>
    </w:p>
    <w:p w:rsidR="00150B59" w:rsidRDefault="00150B59">
      <w:pPr>
        <w:jc w:val="both"/>
        <w:rPr>
          <w:sz w:val="22"/>
          <w:szCs w:val="22"/>
        </w:rPr>
      </w:pPr>
    </w:p>
    <w:p w:rsidR="00150B59" w:rsidRDefault="00666799">
      <w:pPr>
        <w:numPr>
          <w:ilvl w:val="0"/>
          <w:numId w:val="5"/>
        </w:numPr>
        <w:jc w:val="both"/>
        <w:rPr>
          <w:sz w:val="22"/>
          <w:szCs w:val="22"/>
        </w:rPr>
      </w:pPr>
      <w:r>
        <w:rPr>
          <w:sz w:val="22"/>
          <w:szCs w:val="22"/>
        </w:rPr>
        <w:t>Dictar las normas necesarias para garantizar el adecuado cumplimiento de las funciones y la eficiente prestación de los servicios a cargo del Distrito.</w:t>
      </w:r>
    </w:p>
    <w:p w:rsidR="00150B59" w:rsidRDefault="00150B59">
      <w:pPr>
        <w:ind w:left="1440"/>
        <w:jc w:val="both"/>
        <w:rPr>
          <w:b/>
          <w:sz w:val="22"/>
          <w:szCs w:val="22"/>
        </w:rPr>
      </w:pPr>
    </w:p>
    <w:p w:rsidR="00150B59" w:rsidRDefault="00150B59">
      <w:pPr>
        <w:jc w:val="both"/>
        <w:rPr>
          <w:b/>
          <w:sz w:val="22"/>
          <w:szCs w:val="22"/>
        </w:rPr>
      </w:pPr>
    </w:p>
    <w:p w:rsidR="00150B59" w:rsidRDefault="00666799">
      <w:pPr>
        <w:numPr>
          <w:ilvl w:val="0"/>
          <w:numId w:val="1"/>
        </w:numPr>
        <w:pBdr>
          <w:top w:val="nil"/>
          <w:left w:val="nil"/>
          <w:bottom w:val="nil"/>
          <w:right w:val="nil"/>
          <w:between w:val="nil"/>
        </w:pBdr>
        <w:jc w:val="both"/>
        <w:rPr>
          <w:b/>
          <w:sz w:val="22"/>
          <w:szCs w:val="22"/>
          <w:u w:val="single"/>
        </w:rPr>
      </w:pPr>
      <w:r>
        <w:rPr>
          <w:b/>
          <w:sz w:val="22"/>
          <w:szCs w:val="22"/>
          <w:u w:val="single"/>
        </w:rPr>
        <w:t>IMPACTO FISCAL</w:t>
      </w:r>
    </w:p>
    <w:p w:rsidR="00150B59" w:rsidRDefault="00150B59">
      <w:pPr>
        <w:jc w:val="both"/>
        <w:rPr>
          <w:b/>
          <w:sz w:val="22"/>
          <w:szCs w:val="22"/>
          <w:u w:val="single"/>
        </w:rPr>
      </w:pPr>
    </w:p>
    <w:p w:rsidR="00150B59" w:rsidRDefault="00666799">
      <w:pPr>
        <w:jc w:val="both"/>
        <w:rPr>
          <w:sz w:val="22"/>
          <w:szCs w:val="22"/>
        </w:rPr>
      </w:pPr>
      <w:r>
        <w:rPr>
          <w:sz w:val="22"/>
          <w:szCs w:val="22"/>
        </w:rPr>
        <w:t xml:space="preserve">El proyecto de acuerdo argumenta que la iniciativa no genera impacto fiscal al no significar un incremento en el presupuesto del distrito ni la necesidad de generar nuevas fuentes de financiación, y que este será financiado por “presupuestos definidos en las diferentes entidades y de acuerdo a lo dispuesto en el Plan de Desarrollo Distrital 2020 - 2024”. </w:t>
      </w:r>
    </w:p>
    <w:p w:rsidR="00150B59" w:rsidRDefault="00150B59">
      <w:pPr>
        <w:jc w:val="both"/>
        <w:rPr>
          <w:sz w:val="22"/>
          <w:szCs w:val="22"/>
        </w:rPr>
      </w:pPr>
    </w:p>
    <w:p w:rsidR="00150B59" w:rsidRDefault="00150B59">
      <w:pPr>
        <w:jc w:val="both"/>
        <w:rPr>
          <w:sz w:val="22"/>
          <w:szCs w:val="22"/>
        </w:rPr>
      </w:pPr>
    </w:p>
    <w:p w:rsidR="00150B59" w:rsidRDefault="00666799">
      <w:pPr>
        <w:numPr>
          <w:ilvl w:val="0"/>
          <w:numId w:val="1"/>
        </w:numPr>
        <w:pBdr>
          <w:top w:val="nil"/>
          <w:left w:val="nil"/>
          <w:bottom w:val="nil"/>
          <w:right w:val="nil"/>
          <w:between w:val="nil"/>
        </w:pBdr>
        <w:jc w:val="both"/>
        <w:rPr>
          <w:b/>
          <w:sz w:val="22"/>
          <w:szCs w:val="22"/>
          <w:u w:val="single"/>
        </w:rPr>
      </w:pPr>
      <w:r>
        <w:rPr>
          <w:b/>
          <w:sz w:val="22"/>
          <w:szCs w:val="22"/>
          <w:u w:val="single"/>
        </w:rPr>
        <w:t>CONSIDERACIONES DEL PONENTE</w:t>
      </w:r>
    </w:p>
    <w:p w:rsidR="00150B59" w:rsidRDefault="00150B59">
      <w:pPr>
        <w:jc w:val="both"/>
        <w:rPr>
          <w:b/>
          <w:sz w:val="22"/>
          <w:szCs w:val="22"/>
          <w:u w:val="single"/>
        </w:rPr>
      </w:pPr>
    </w:p>
    <w:p w:rsidR="00150B59" w:rsidRDefault="00666799">
      <w:pPr>
        <w:jc w:val="both"/>
        <w:rPr>
          <w:sz w:val="22"/>
          <w:szCs w:val="22"/>
        </w:rPr>
      </w:pPr>
      <w:r>
        <w:rPr>
          <w:sz w:val="22"/>
          <w:szCs w:val="22"/>
        </w:rPr>
        <w:t>El aumento de la extorsión en Bogotá, refleja una problemática social y de seguridad que requiere de una atención prioritaria por parte de la administración mediante una acción coordinada para su prevención y combate. El fenómeno de la extorsión implica entonces, la existencia de situaciones de violencia, por lo que este se enlaza directamente con otros delitos como las amenazas, lesiones personales y el homicidio que permiten la ejecución y el sostenimiento de esta actividad criminal.</w:t>
      </w:r>
    </w:p>
    <w:p w:rsidR="00150B59" w:rsidRDefault="00150B59">
      <w:pPr>
        <w:jc w:val="both"/>
        <w:rPr>
          <w:sz w:val="22"/>
          <w:szCs w:val="22"/>
        </w:rPr>
      </w:pPr>
    </w:p>
    <w:p w:rsidR="00150B59" w:rsidRDefault="00666799">
      <w:pPr>
        <w:jc w:val="both"/>
        <w:rPr>
          <w:sz w:val="22"/>
          <w:szCs w:val="22"/>
        </w:rPr>
      </w:pPr>
      <w:r>
        <w:rPr>
          <w:sz w:val="22"/>
          <w:szCs w:val="22"/>
        </w:rPr>
        <w:t xml:space="preserve">Bogotá necesita de manera urgente implementar un fortalecimiento en la ruta directa y única de atención en donde se garantice la efectividad y prontitud con el acompañamiento y respuesta a las denuncias impuestas por las víctimas de extorsión; no obstante, se considera necesario que esta ruta a implementar, trabaje de la mano con la Policía Nacional y la Fiscalía General para adelantar las respectivas investigaciones y acciones en cuanto a brindar más seguridad tanto a las víctimas, como a sus familias o cualquier otro sujeto inmerso en esta situación.  </w:t>
      </w:r>
    </w:p>
    <w:p w:rsidR="00150B59" w:rsidRDefault="00150B59">
      <w:pPr>
        <w:jc w:val="both"/>
        <w:rPr>
          <w:sz w:val="22"/>
          <w:szCs w:val="22"/>
        </w:rPr>
      </w:pPr>
    </w:p>
    <w:p w:rsidR="00150B59" w:rsidRDefault="00666799">
      <w:pPr>
        <w:jc w:val="both"/>
        <w:rPr>
          <w:sz w:val="22"/>
          <w:szCs w:val="22"/>
        </w:rPr>
      </w:pPr>
      <w:r>
        <w:rPr>
          <w:sz w:val="22"/>
          <w:szCs w:val="22"/>
        </w:rPr>
        <w:t xml:space="preserve">Por lo que, entender las características y afectaciones de este delito es clave, toda vez que de esa manera se puede empezar a implementar estrategias efectivas para la prevención y que, con ello, se mitigue el impacto y se garantice la seguridad a la ciudadanía. Ahora </w:t>
      </w:r>
      <w:r>
        <w:rPr>
          <w:sz w:val="22"/>
          <w:szCs w:val="22"/>
        </w:rPr>
        <w:lastRenderedPageBreak/>
        <w:t xml:space="preserve">bien, en Bogotá existe una línea de atención, que de acuerdo a información expuesta en la página de la Alcaldía de Bogotá, “En </w:t>
      </w:r>
      <w:hyperlink r:id="rId11">
        <w:r>
          <w:rPr>
            <w:sz w:val="22"/>
            <w:szCs w:val="22"/>
          </w:rPr>
          <w:t>Bogotá́</w:t>
        </w:r>
      </w:hyperlink>
      <w:r>
        <w:rPr>
          <w:sz w:val="22"/>
          <w:szCs w:val="22"/>
        </w:rPr>
        <w:t> las autoridades como la </w:t>
      </w:r>
      <w:hyperlink r:id="rId12">
        <w:r>
          <w:rPr>
            <w:sz w:val="22"/>
            <w:szCs w:val="22"/>
          </w:rPr>
          <w:t>Policía de Bogotá</w:t>
        </w:r>
      </w:hyperlink>
      <w:r>
        <w:rPr>
          <w:sz w:val="22"/>
          <w:szCs w:val="22"/>
        </w:rPr>
        <w:t>, el </w:t>
      </w:r>
      <w:hyperlink r:id="rId13">
        <w:r>
          <w:rPr>
            <w:sz w:val="22"/>
            <w:szCs w:val="22"/>
          </w:rPr>
          <w:t>Gaula de la Policía</w:t>
        </w:r>
      </w:hyperlink>
      <w:r>
        <w:rPr>
          <w:sz w:val="22"/>
          <w:szCs w:val="22"/>
        </w:rPr>
        <w:t>, la </w:t>
      </w:r>
      <w:hyperlink r:id="rId14">
        <w:r>
          <w:rPr>
            <w:sz w:val="22"/>
            <w:szCs w:val="22"/>
          </w:rPr>
          <w:t>Fiscalía General de la Nación</w:t>
        </w:r>
      </w:hyperlink>
      <w:r>
        <w:rPr>
          <w:sz w:val="22"/>
          <w:szCs w:val="22"/>
        </w:rPr>
        <w:t xml:space="preserve">, el Ejército y entidades del </w:t>
      </w:r>
      <w:hyperlink r:id="rId15">
        <w:r>
          <w:rPr>
            <w:sz w:val="22"/>
            <w:szCs w:val="22"/>
          </w:rPr>
          <w:t>Distrito</w:t>
        </w:r>
      </w:hyperlink>
      <w:r>
        <w:rPr>
          <w:sz w:val="22"/>
          <w:szCs w:val="22"/>
        </w:rPr>
        <w:t xml:space="preserve"> trabajan de manera conjunta con la ciudadanía para contrarrestar el delito de la extorsión, esto en el marco de la estrategia de seguridad ‘</w:t>
      </w:r>
      <w:hyperlink r:id="rId16">
        <w:r>
          <w:rPr>
            <w:sz w:val="22"/>
            <w:szCs w:val="22"/>
          </w:rPr>
          <w:t>Bogotá Camina Segura</w:t>
        </w:r>
      </w:hyperlink>
      <w:r>
        <w:rPr>
          <w:sz w:val="22"/>
          <w:szCs w:val="22"/>
        </w:rPr>
        <w:t>’. Por ello, las autoridades invitan a denunciar si se está siendo víctima de extorsión. Para ello cada ciudadano víctima de este flagelo deberá comunicarse con la Línea 165 del Grupo de Acción Unificada por la Libertad Personal - </w:t>
      </w:r>
      <w:hyperlink r:id="rId17">
        <w:r>
          <w:rPr>
            <w:sz w:val="22"/>
            <w:szCs w:val="22"/>
          </w:rPr>
          <w:t>Gaula de la Policía</w:t>
        </w:r>
      </w:hyperlink>
      <w:r>
        <w:rPr>
          <w:sz w:val="22"/>
          <w:szCs w:val="22"/>
        </w:rPr>
        <w:t>. El personal encargado de recibir información sobre extorsiones atiende el caso, solicita la información pertinente y da indicaciones sobre cómo proceder o realizar directamente la denuncia en línea”.</w:t>
      </w:r>
      <w:r>
        <w:rPr>
          <w:sz w:val="22"/>
          <w:szCs w:val="22"/>
          <w:vertAlign w:val="superscript"/>
        </w:rPr>
        <w:footnoteReference w:id="2"/>
      </w:r>
    </w:p>
    <w:p w:rsidR="00150B59" w:rsidRDefault="00150B59">
      <w:pPr>
        <w:jc w:val="both"/>
        <w:rPr>
          <w:sz w:val="22"/>
          <w:szCs w:val="22"/>
        </w:rPr>
      </w:pPr>
    </w:p>
    <w:p w:rsidR="00150B59" w:rsidRDefault="00666799">
      <w:pPr>
        <w:jc w:val="both"/>
        <w:rPr>
          <w:sz w:val="22"/>
          <w:szCs w:val="22"/>
        </w:rPr>
      </w:pPr>
      <w:r>
        <w:rPr>
          <w:sz w:val="22"/>
          <w:szCs w:val="22"/>
        </w:rPr>
        <w:t xml:space="preserve">Sin embargo, la implementación del fortalecimiento de una </w:t>
      </w:r>
      <w:r>
        <w:rPr>
          <w:i/>
          <w:sz w:val="22"/>
          <w:szCs w:val="22"/>
        </w:rPr>
        <w:t>Única Ruta Distrital</w:t>
      </w:r>
      <w:r>
        <w:rPr>
          <w:sz w:val="22"/>
          <w:szCs w:val="22"/>
        </w:rPr>
        <w:t xml:space="preserve"> </w:t>
      </w:r>
      <w:r>
        <w:rPr>
          <w:i/>
          <w:sz w:val="22"/>
          <w:szCs w:val="22"/>
        </w:rPr>
        <w:t>para la atención y orientación a las víctimas de extorsión</w:t>
      </w:r>
      <w:r>
        <w:rPr>
          <w:sz w:val="22"/>
          <w:szCs w:val="22"/>
        </w:rPr>
        <w:t xml:space="preserve">, hará que se brinde una ayuda inmediata y personalizada, generando confianza y seguridad al ciudadano. Toda vez que las líneas que se manejan en este momento en Bogotá, resultan ser ineficientes en el sentido en que, al realizar una llamada, esta contiene variedad de filtros y, por ende, demora en la atención lo que conlleva a que la mayoría de víctimas desistan del proceso de denuncia por falta de acompañamiento y atención oportuna por parte de las autoridades pertinentes. </w:t>
      </w:r>
    </w:p>
    <w:p w:rsidR="00150B59" w:rsidRDefault="00150B59">
      <w:pPr>
        <w:jc w:val="both"/>
        <w:rPr>
          <w:sz w:val="22"/>
          <w:szCs w:val="22"/>
        </w:rPr>
      </w:pPr>
    </w:p>
    <w:p w:rsidR="00150B59" w:rsidRDefault="00666799">
      <w:pPr>
        <w:jc w:val="both"/>
        <w:rPr>
          <w:sz w:val="22"/>
          <w:szCs w:val="22"/>
        </w:rPr>
      </w:pPr>
      <w:r>
        <w:rPr>
          <w:sz w:val="22"/>
          <w:szCs w:val="22"/>
        </w:rPr>
        <w:t>Finalmente, bajo los argumentos expuestos, se puede considerar que contar con el fortalecimiento de la ruta de denuncia para bogotanos víctimas de extorsión, permitirá centralizar los recursos y servicios disponibles, facilitando que las víctimas puedan acceder a la información, orientación y asistencia necesaria sin tener que acudir a diferentes instituciones, situación que reducirá la burocracia. Por otro lado, es importante señalar que la extorsión no solo afecta económicamente a las víctimas, sino también genera una afectación psicológica, emocional y a su vez social; por lo que implementar una ruta integral, se podrá garantizar un acompañamiento psicológico y una protección adecuada, pues esto contribuirá a su recuperación y bienestar.</w:t>
      </w:r>
    </w:p>
    <w:p w:rsidR="00150B59" w:rsidRDefault="00150B59">
      <w:pPr>
        <w:jc w:val="both"/>
        <w:rPr>
          <w:sz w:val="22"/>
          <w:szCs w:val="22"/>
        </w:rPr>
      </w:pPr>
    </w:p>
    <w:p w:rsidR="00150B59" w:rsidRDefault="00666799">
      <w:pPr>
        <w:jc w:val="both"/>
        <w:rPr>
          <w:sz w:val="22"/>
          <w:szCs w:val="22"/>
        </w:rPr>
      </w:pPr>
      <w:r>
        <w:rPr>
          <w:sz w:val="22"/>
          <w:szCs w:val="22"/>
        </w:rPr>
        <w:t>En ese sentido, y con los argumentos expuestos en cuanto a la necesidad de implementar el fortalecimiento de una única y eficiente ruta de atención a denuncias por el delito de extorsión, se considera necesario y pertinente avanzar con el presente proyecto presentado por los Concejales Quena Ribadeneria y Oscar Bastidas Jacanamijoy.</w:t>
      </w:r>
    </w:p>
    <w:p w:rsidR="00150B59" w:rsidRDefault="00150B59">
      <w:pPr>
        <w:jc w:val="both"/>
        <w:rPr>
          <w:sz w:val="22"/>
          <w:szCs w:val="22"/>
        </w:rPr>
      </w:pPr>
    </w:p>
    <w:p w:rsidR="00150B59" w:rsidRDefault="00150B59">
      <w:pPr>
        <w:jc w:val="both"/>
        <w:rPr>
          <w:sz w:val="22"/>
          <w:szCs w:val="22"/>
          <w:highlight w:val="white"/>
        </w:rPr>
      </w:pPr>
    </w:p>
    <w:p w:rsidR="00150B59" w:rsidRDefault="00666799">
      <w:pPr>
        <w:numPr>
          <w:ilvl w:val="0"/>
          <w:numId w:val="1"/>
        </w:numPr>
        <w:pBdr>
          <w:top w:val="nil"/>
          <w:left w:val="nil"/>
          <w:bottom w:val="nil"/>
          <w:right w:val="nil"/>
          <w:between w:val="nil"/>
        </w:pBdr>
        <w:jc w:val="both"/>
        <w:rPr>
          <w:b/>
          <w:sz w:val="22"/>
          <w:szCs w:val="22"/>
          <w:highlight w:val="white"/>
          <w:u w:val="single"/>
        </w:rPr>
      </w:pPr>
      <w:r>
        <w:rPr>
          <w:b/>
          <w:sz w:val="22"/>
          <w:szCs w:val="22"/>
          <w:highlight w:val="white"/>
          <w:u w:val="single"/>
        </w:rPr>
        <w:t>CONCLUSIONES</w:t>
      </w:r>
    </w:p>
    <w:p w:rsidR="00150B59" w:rsidRDefault="00150B59">
      <w:pPr>
        <w:jc w:val="both"/>
        <w:rPr>
          <w:b/>
          <w:sz w:val="22"/>
          <w:szCs w:val="22"/>
          <w:highlight w:val="white"/>
          <w:u w:val="single"/>
        </w:rPr>
      </w:pPr>
    </w:p>
    <w:p w:rsidR="00150B59" w:rsidRDefault="00666799">
      <w:pPr>
        <w:jc w:val="both"/>
        <w:rPr>
          <w:i/>
          <w:sz w:val="22"/>
          <w:szCs w:val="22"/>
        </w:rPr>
      </w:pPr>
      <w:r>
        <w:rPr>
          <w:sz w:val="22"/>
          <w:szCs w:val="22"/>
          <w:highlight w:val="white"/>
        </w:rPr>
        <w:t xml:space="preserve">Teniendo en cuenta las consideraciones planteadas y los argumentos sostenidos, </w:t>
      </w:r>
      <w:r>
        <w:rPr>
          <w:sz w:val="22"/>
          <w:szCs w:val="22"/>
        </w:rPr>
        <w:t xml:space="preserve">me permito rendir </w:t>
      </w:r>
      <w:r>
        <w:rPr>
          <w:b/>
          <w:sz w:val="22"/>
          <w:szCs w:val="22"/>
        </w:rPr>
        <w:t xml:space="preserve">PONENCIA CONJUNTA POSITIVA CON MODIFICACIONES </w:t>
      </w:r>
      <w:r>
        <w:rPr>
          <w:sz w:val="22"/>
          <w:szCs w:val="22"/>
        </w:rPr>
        <w:t>al Proyecto de Acuerdo 179 de 2025, “</w:t>
      </w:r>
      <w:r>
        <w:rPr>
          <w:i/>
          <w:sz w:val="22"/>
          <w:szCs w:val="22"/>
        </w:rPr>
        <w:t xml:space="preserve">POR MEDIO DEL CUAL SE ESTABLECEN LINEAMIENTOS </w:t>
      </w:r>
      <w:r>
        <w:rPr>
          <w:i/>
          <w:sz w:val="22"/>
          <w:szCs w:val="22"/>
        </w:rPr>
        <w:lastRenderedPageBreak/>
        <w:t>PARA LA CREACIÓN DE UNA ÚNICA RUTA DE DENUNCIA Y ATENCIÓN INTEGRAL PARA LAS VÍCTIMAS DE EXTORSIÓN EN EL DISTRITO CAPITAL”.</w:t>
      </w: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666799">
      <w:pPr>
        <w:jc w:val="both"/>
        <w:rPr>
          <w:b/>
          <w:sz w:val="22"/>
          <w:szCs w:val="22"/>
          <w:highlight w:val="white"/>
          <w:u w:val="single"/>
        </w:rPr>
      </w:pPr>
      <w:r>
        <w:rPr>
          <w:b/>
          <w:sz w:val="22"/>
          <w:szCs w:val="22"/>
          <w:highlight w:val="white"/>
          <w:u w:val="single"/>
        </w:rPr>
        <w:t>Bibliografía:</w:t>
      </w:r>
    </w:p>
    <w:p w:rsidR="00150B59" w:rsidRDefault="00150B59">
      <w:pPr>
        <w:jc w:val="both"/>
        <w:rPr>
          <w:b/>
          <w:sz w:val="22"/>
          <w:szCs w:val="22"/>
          <w:highlight w:val="white"/>
          <w:u w:val="single"/>
        </w:rPr>
      </w:pPr>
    </w:p>
    <w:p w:rsidR="00150B59" w:rsidRDefault="00666799">
      <w:pPr>
        <w:numPr>
          <w:ilvl w:val="0"/>
          <w:numId w:val="4"/>
        </w:numPr>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https://bogota.gov.co/mi-ciudad/seguridad/extorsion-en-bogota-estos-son-los-canales-para-denunciar </w:t>
      </w:r>
    </w:p>
    <w:p w:rsidR="00150B59" w:rsidRDefault="00F72605">
      <w:pPr>
        <w:numPr>
          <w:ilvl w:val="0"/>
          <w:numId w:val="4"/>
        </w:numPr>
        <w:pBdr>
          <w:top w:val="nil"/>
          <w:left w:val="nil"/>
          <w:bottom w:val="nil"/>
          <w:right w:val="nil"/>
          <w:between w:val="nil"/>
        </w:pBdr>
        <w:rPr>
          <w:rFonts w:ascii="Times New Roman" w:eastAsia="Times New Roman" w:hAnsi="Times New Roman" w:cs="Times New Roman"/>
          <w:sz w:val="18"/>
          <w:szCs w:val="18"/>
        </w:rPr>
      </w:pPr>
      <w:hyperlink r:id="rId18">
        <w:r w:rsidR="00666799">
          <w:rPr>
            <w:rFonts w:ascii="Times New Roman" w:eastAsia="Times New Roman" w:hAnsi="Times New Roman" w:cs="Times New Roman"/>
            <w:color w:val="0000FF"/>
            <w:sz w:val="18"/>
            <w:szCs w:val="18"/>
            <w:u w:val="single"/>
          </w:rPr>
          <w:t>https://insightcrime.org/wp-content/uploads/2023/08/Extorsion-en-Colombia-PARES.pdf</w:t>
        </w:r>
      </w:hyperlink>
    </w:p>
    <w:p w:rsidR="00150B59" w:rsidRDefault="00150B59">
      <w:pPr>
        <w:numPr>
          <w:ilvl w:val="0"/>
          <w:numId w:val="4"/>
        </w:numPr>
        <w:pBdr>
          <w:top w:val="nil"/>
          <w:left w:val="nil"/>
          <w:bottom w:val="nil"/>
          <w:right w:val="nil"/>
          <w:between w:val="nil"/>
        </w:pBdr>
        <w:rPr>
          <w:rFonts w:ascii="Times New Roman" w:eastAsia="Times New Roman" w:hAnsi="Times New Roman" w:cs="Times New Roman"/>
          <w:sz w:val="18"/>
          <w:szCs w:val="18"/>
        </w:rPr>
      </w:pPr>
    </w:p>
    <w:p w:rsidR="00150B59" w:rsidRDefault="00150B59">
      <w:pPr>
        <w:jc w:val="both"/>
        <w:rPr>
          <w:sz w:val="22"/>
          <w:szCs w:val="22"/>
          <w:highlight w:val="white"/>
        </w:rPr>
      </w:pPr>
    </w:p>
    <w:p w:rsidR="00150B59" w:rsidRDefault="00666799">
      <w:pPr>
        <w:jc w:val="both"/>
        <w:rPr>
          <w:sz w:val="22"/>
          <w:szCs w:val="22"/>
          <w:highlight w:val="white"/>
        </w:rPr>
      </w:pPr>
      <w:r>
        <w:rPr>
          <w:sz w:val="22"/>
          <w:szCs w:val="22"/>
          <w:highlight w:val="white"/>
        </w:rPr>
        <w:t xml:space="preserve">Cordialmente, </w:t>
      </w: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666799">
      <w:pPr>
        <w:jc w:val="both"/>
        <w:rPr>
          <w:sz w:val="22"/>
          <w:szCs w:val="22"/>
          <w:highlight w:val="white"/>
        </w:rPr>
      </w:pPr>
      <w:r>
        <w:rPr>
          <w:noProof/>
          <w:lang w:val="es-419" w:eastAsia="es-419"/>
        </w:rPr>
        <mc:AlternateContent>
          <mc:Choice Requires="wpg">
            <w:drawing>
              <wp:anchor distT="0" distB="0" distL="114300" distR="114300" simplePos="0" relativeHeight="251660288" behindDoc="0" locked="0" layoutInCell="1" hidden="0" allowOverlap="1">
                <wp:simplePos x="0" y="0"/>
                <wp:positionH relativeFrom="column">
                  <wp:posOffset>12701</wp:posOffset>
                </wp:positionH>
                <wp:positionV relativeFrom="paragraph">
                  <wp:posOffset>127000</wp:posOffset>
                </wp:positionV>
                <wp:extent cx="2409825" cy="28575"/>
                <wp:effectExtent l="0" t="0" r="0" b="0"/>
                <wp:wrapNone/>
                <wp:docPr id="11" name="Conector recto de flecha 11"/>
                <wp:cNvGraphicFramePr/>
                <a:graphic xmlns:a="http://schemas.openxmlformats.org/drawingml/2006/main">
                  <a:graphicData uri="http://schemas.microsoft.com/office/word/2010/wordprocessingShape">
                    <wps:wsp>
                      <wps:cNvCnPr/>
                      <wps:spPr>
                        <a:xfrm rot="10800000" flipH="1">
                          <a:off x="4145850" y="3770475"/>
                          <a:ext cx="2400300" cy="1905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1="http://schemas.microsoft.com/office/drawing/2015/9/8/chartex"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127000</wp:posOffset>
                </wp:positionV>
                <wp:extent cx="2409825" cy="28575"/>
                <wp:effectExtent b="0" l="0" r="0" t="0"/>
                <wp:wrapNone/>
                <wp:docPr id="1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409825" cy="28575"/>
                        </a:xfrm>
                        <a:prstGeom prst="rect"/>
                        <a:ln/>
                      </pic:spPr>
                    </pic:pic>
                  </a:graphicData>
                </a:graphic>
              </wp:anchor>
            </w:drawing>
          </mc:Fallback>
        </mc:AlternateContent>
      </w:r>
      <w:r>
        <w:rPr>
          <w:noProof/>
          <w:lang w:val="es-419" w:eastAsia="es-419"/>
        </w:rPr>
        <mc:AlternateContent>
          <mc:Choice Requires="wps">
            <w:drawing>
              <wp:anchor distT="0" distB="0" distL="114300" distR="114300" simplePos="0" relativeHeight="251661312" behindDoc="0" locked="0" layoutInCell="1" hidden="0" allowOverlap="1">
                <wp:simplePos x="0" y="0"/>
                <wp:positionH relativeFrom="column">
                  <wp:posOffset>3403600</wp:posOffset>
                </wp:positionH>
                <wp:positionV relativeFrom="paragraph">
                  <wp:posOffset>114300</wp:posOffset>
                </wp:positionV>
                <wp:extent cx="0" cy="12700"/>
                <wp:effectExtent l="0" t="0" r="0" b="0"/>
                <wp:wrapNone/>
                <wp:docPr id="13" name="Conector recto de flecha 13"/>
                <wp:cNvGraphicFramePr/>
                <a:graphic xmlns:a="http://schemas.openxmlformats.org/drawingml/2006/main">
                  <a:graphicData uri="http://schemas.microsoft.com/office/word/2010/wordprocessingShape">
                    <wps:wsp>
                      <wps:cNvCnPr/>
                      <wps:spPr>
                        <a:xfrm>
                          <a:off x="4203000" y="3780000"/>
                          <a:ext cx="228600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1="http://schemas.microsoft.com/office/drawing/2015/9/8/chartex"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3403600</wp:posOffset>
                </wp:positionH>
                <wp:positionV relativeFrom="paragraph">
                  <wp:posOffset>114300</wp:posOffset>
                </wp:positionV>
                <wp:extent cx="0" cy="12700"/>
                <wp:effectExtent b="0" l="0" r="0" t="0"/>
                <wp:wrapNone/>
                <wp:docPr id="1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150B59" w:rsidRDefault="00666799">
      <w:pPr>
        <w:jc w:val="both"/>
        <w:rPr>
          <w:b/>
          <w:sz w:val="22"/>
          <w:szCs w:val="22"/>
          <w:highlight w:val="white"/>
        </w:rPr>
      </w:pPr>
      <w:r>
        <w:rPr>
          <w:b/>
          <w:sz w:val="22"/>
          <w:szCs w:val="22"/>
          <w:highlight w:val="white"/>
        </w:rPr>
        <w:t>GERMÁN AUGUSTO GARCÍA MAYA                            FERNANDO LOPEZ GUTIERREZ</w:t>
      </w:r>
      <w:r>
        <w:rPr>
          <w:sz w:val="22"/>
          <w:szCs w:val="22"/>
          <w:highlight w:val="white"/>
        </w:rPr>
        <w:t xml:space="preserve">                            </w:t>
      </w:r>
    </w:p>
    <w:p w:rsidR="00150B59" w:rsidRDefault="00666799">
      <w:pPr>
        <w:jc w:val="both"/>
        <w:rPr>
          <w:sz w:val="22"/>
          <w:szCs w:val="22"/>
          <w:highlight w:val="white"/>
        </w:rPr>
      </w:pPr>
      <w:r>
        <w:rPr>
          <w:sz w:val="22"/>
          <w:szCs w:val="22"/>
          <w:highlight w:val="white"/>
        </w:rPr>
        <w:t>Coordinador ponente                                                       Ponente</w:t>
      </w: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bookmarkStart w:id="2" w:name="_heading=h.30j0zll" w:colFirst="0" w:colLast="0"/>
      <w:bookmarkEnd w:id="2"/>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both"/>
        <w:rPr>
          <w:sz w:val="22"/>
          <w:szCs w:val="22"/>
          <w:highlight w:val="white"/>
        </w:rPr>
      </w:pPr>
    </w:p>
    <w:p w:rsidR="00150B59" w:rsidRDefault="00150B59">
      <w:pPr>
        <w:jc w:val="center"/>
        <w:rPr>
          <w:b/>
        </w:rPr>
      </w:pPr>
    </w:p>
    <w:p w:rsidR="00150B59" w:rsidRDefault="00666799">
      <w:pPr>
        <w:shd w:val="clear" w:color="auto" w:fill="FFFFFF"/>
        <w:jc w:val="center"/>
        <w:rPr>
          <w:b/>
          <w:sz w:val="22"/>
          <w:szCs w:val="22"/>
        </w:rPr>
      </w:pPr>
      <w:r>
        <w:rPr>
          <w:b/>
          <w:sz w:val="22"/>
          <w:szCs w:val="22"/>
        </w:rPr>
        <w:t>PROYECTO DE ACUERDO 179 DE 2025</w:t>
      </w:r>
    </w:p>
    <w:p w:rsidR="00150B59" w:rsidRDefault="00150B59">
      <w:pPr>
        <w:rPr>
          <w:b/>
          <w:sz w:val="22"/>
          <w:szCs w:val="22"/>
        </w:rPr>
      </w:pPr>
    </w:p>
    <w:p w:rsidR="00150B59" w:rsidRDefault="00666799">
      <w:pPr>
        <w:jc w:val="center"/>
        <w:rPr>
          <w:b/>
          <w:sz w:val="22"/>
          <w:szCs w:val="22"/>
        </w:rPr>
      </w:pPr>
      <w:r>
        <w:rPr>
          <w:b/>
          <w:sz w:val="22"/>
          <w:szCs w:val="22"/>
        </w:rPr>
        <w:t>“POR MEDIO DEL CUAL SE ESTABLECEN LINEAMIENTOS PARA LA CREACIÓN DE UNA ÚNICA RUTA DE DENUNCIA Y ATENCIÓN INTEGRAL PARA LA VÍCTIMAS DE EXTORSIÓN EN EL DISTRITO CAPITAL”.</w:t>
      </w:r>
    </w:p>
    <w:p w:rsidR="00150B59" w:rsidRDefault="00150B59">
      <w:pPr>
        <w:spacing w:after="240"/>
        <w:rPr>
          <w:sz w:val="22"/>
          <w:szCs w:val="22"/>
        </w:rPr>
      </w:pPr>
    </w:p>
    <w:p w:rsidR="00150B59" w:rsidRDefault="00666799">
      <w:pPr>
        <w:jc w:val="center"/>
        <w:rPr>
          <w:sz w:val="22"/>
          <w:szCs w:val="22"/>
        </w:rPr>
      </w:pPr>
      <w:r>
        <w:rPr>
          <w:b/>
          <w:sz w:val="22"/>
          <w:szCs w:val="22"/>
        </w:rPr>
        <w:t>EL CONCEJO DE BOGOTÁ D.C</w:t>
      </w:r>
      <w:r>
        <w:rPr>
          <w:sz w:val="22"/>
          <w:szCs w:val="22"/>
        </w:rPr>
        <w:t>.</w:t>
      </w:r>
    </w:p>
    <w:p w:rsidR="00150B59" w:rsidRDefault="00150B59">
      <w:pPr>
        <w:jc w:val="center"/>
        <w:rPr>
          <w:sz w:val="22"/>
          <w:szCs w:val="22"/>
        </w:rPr>
      </w:pPr>
    </w:p>
    <w:p w:rsidR="00150B59" w:rsidRDefault="00666799">
      <w:pPr>
        <w:pBdr>
          <w:top w:val="nil"/>
          <w:left w:val="nil"/>
          <w:bottom w:val="nil"/>
          <w:right w:val="nil"/>
          <w:between w:val="nil"/>
        </w:pBdr>
        <w:spacing w:before="1"/>
        <w:ind w:left="361" w:right="764"/>
        <w:jc w:val="center"/>
        <w:rPr>
          <w:rFonts w:ascii="Times New Roman" w:eastAsia="Times New Roman" w:hAnsi="Times New Roman" w:cs="Times New Roman"/>
        </w:rPr>
      </w:pPr>
      <w:r>
        <w:rPr>
          <w:sz w:val="22"/>
          <w:szCs w:val="22"/>
        </w:rPr>
        <w:t>En ejercicio de sus atribuciones constitucionales y legales, que le confiere el numeral 1, 7, 8 y 23 del artículo 12 del Decreto Ley 1421 de 1993,</w:t>
      </w:r>
    </w:p>
    <w:p w:rsidR="00150B59" w:rsidRDefault="00150B59"/>
    <w:p w:rsidR="00150B59" w:rsidRDefault="00666799">
      <w:pPr>
        <w:pStyle w:val="Ttulo1"/>
        <w:ind w:right="400"/>
        <w:rPr>
          <w:b/>
        </w:rPr>
      </w:pPr>
      <w:r>
        <w:rPr>
          <w:rFonts w:ascii="Arial" w:hAnsi="Arial"/>
          <w:b/>
          <w:color w:val="000000"/>
          <w:sz w:val="22"/>
          <w:szCs w:val="22"/>
        </w:rPr>
        <w:t>ACUERDA:</w:t>
      </w:r>
    </w:p>
    <w:p w:rsidR="00150B59" w:rsidRDefault="00150B59">
      <w:pPr>
        <w:pBdr>
          <w:top w:val="nil"/>
          <w:left w:val="nil"/>
          <w:bottom w:val="nil"/>
          <w:right w:val="nil"/>
          <w:between w:val="nil"/>
        </w:pBdr>
        <w:ind w:right="498"/>
        <w:jc w:val="both"/>
      </w:pPr>
    </w:p>
    <w:p w:rsidR="00150B59" w:rsidRDefault="00666799">
      <w:pPr>
        <w:pBdr>
          <w:top w:val="nil"/>
          <w:left w:val="nil"/>
          <w:bottom w:val="nil"/>
          <w:right w:val="nil"/>
          <w:between w:val="nil"/>
        </w:pBdr>
        <w:ind w:right="498"/>
        <w:jc w:val="both"/>
        <w:rPr>
          <w:sz w:val="22"/>
          <w:szCs w:val="22"/>
        </w:rPr>
      </w:pPr>
      <w:r>
        <w:rPr>
          <w:b/>
          <w:sz w:val="22"/>
          <w:szCs w:val="22"/>
        </w:rPr>
        <w:t>Artículo 1</w:t>
      </w:r>
      <w:r>
        <w:rPr>
          <w:sz w:val="22"/>
          <w:szCs w:val="22"/>
        </w:rPr>
        <w:t xml:space="preserve">. </w:t>
      </w:r>
      <w:r>
        <w:rPr>
          <w:b/>
          <w:sz w:val="22"/>
          <w:szCs w:val="22"/>
        </w:rPr>
        <w:t>Objeto</w:t>
      </w:r>
      <w:r>
        <w:rPr>
          <w:sz w:val="22"/>
          <w:szCs w:val="22"/>
        </w:rPr>
        <w:t>. Establecer lineamientos para la creación de una ruta que garantice la denuncia y la atención integral a las víctimas de extorsión en el Distrito Capital.</w:t>
      </w:r>
    </w:p>
    <w:p w:rsidR="00150B59" w:rsidRDefault="00150B59">
      <w:pPr>
        <w:pBdr>
          <w:top w:val="nil"/>
          <w:left w:val="nil"/>
          <w:bottom w:val="nil"/>
          <w:right w:val="nil"/>
          <w:between w:val="nil"/>
        </w:pBdr>
        <w:ind w:right="498"/>
        <w:jc w:val="both"/>
        <w:rPr>
          <w:sz w:val="22"/>
          <w:szCs w:val="22"/>
        </w:rPr>
      </w:pPr>
    </w:p>
    <w:p w:rsidR="00150B59" w:rsidRDefault="00666799">
      <w:pPr>
        <w:pBdr>
          <w:top w:val="nil"/>
          <w:left w:val="nil"/>
          <w:bottom w:val="nil"/>
          <w:right w:val="nil"/>
          <w:between w:val="nil"/>
        </w:pBdr>
        <w:ind w:right="498"/>
        <w:jc w:val="both"/>
        <w:rPr>
          <w:rFonts w:ascii="Times New Roman" w:eastAsia="Times New Roman" w:hAnsi="Times New Roman" w:cs="Times New Roman"/>
        </w:rPr>
      </w:pPr>
      <w:r>
        <w:rPr>
          <w:b/>
          <w:sz w:val="22"/>
          <w:szCs w:val="22"/>
        </w:rPr>
        <w:t>Artículo 2</w:t>
      </w:r>
      <w:r>
        <w:rPr>
          <w:sz w:val="22"/>
          <w:szCs w:val="22"/>
        </w:rPr>
        <w:t xml:space="preserve">. </w:t>
      </w:r>
      <w:r>
        <w:rPr>
          <w:b/>
          <w:sz w:val="22"/>
          <w:szCs w:val="22"/>
        </w:rPr>
        <w:t xml:space="preserve">Identificación del caso. </w:t>
      </w:r>
      <w:r>
        <w:rPr>
          <w:sz w:val="22"/>
          <w:szCs w:val="22"/>
        </w:rPr>
        <w:t>La Secretaría Distrital de Seguridad, Convivencia y Justicia o quien haga sus veces, destinará al equipo de atención para la denuncia, la recepción y atención del caso.</w:t>
      </w:r>
    </w:p>
    <w:p w:rsidR="00150B59" w:rsidRDefault="00150B59"/>
    <w:p w:rsidR="00150B59" w:rsidRDefault="00666799">
      <w:pPr>
        <w:pBdr>
          <w:top w:val="nil"/>
          <w:left w:val="nil"/>
          <w:bottom w:val="nil"/>
          <w:right w:val="nil"/>
          <w:between w:val="nil"/>
        </w:pBdr>
        <w:ind w:left="102" w:right="492"/>
        <w:jc w:val="both"/>
        <w:rPr>
          <w:rFonts w:ascii="Times New Roman" w:eastAsia="Times New Roman" w:hAnsi="Times New Roman" w:cs="Times New Roman"/>
        </w:rPr>
      </w:pPr>
      <w:r>
        <w:rPr>
          <w:b/>
          <w:sz w:val="22"/>
          <w:szCs w:val="22"/>
        </w:rPr>
        <w:t>Parágrafo</w:t>
      </w:r>
      <w:r>
        <w:rPr>
          <w:sz w:val="22"/>
          <w:szCs w:val="22"/>
        </w:rPr>
        <w:t>: El equipo que realizará la identificación conforme al tipo de extorsión se desarrollará de acuerdo con los siguientes criterios:</w:t>
      </w:r>
    </w:p>
    <w:p w:rsidR="00150B59" w:rsidRDefault="00150B59"/>
    <w:p w:rsidR="00150B59" w:rsidRDefault="00666799">
      <w:pPr>
        <w:numPr>
          <w:ilvl w:val="0"/>
          <w:numId w:val="2"/>
        </w:numPr>
        <w:pBdr>
          <w:top w:val="nil"/>
          <w:left w:val="nil"/>
          <w:bottom w:val="nil"/>
          <w:right w:val="nil"/>
          <w:between w:val="nil"/>
        </w:pBdr>
        <w:ind w:left="821" w:right="501"/>
        <w:jc w:val="both"/>
        <w:rPr>
          <w:sz w:val="22"/>
          <w:szCs w:val="22"/>
        </w:rPr>
      </w:pPr>
      <w:r>
        <w:rPr>
          <w:sz w:val="22"/>
          <w:szCs w:val="22"/>
        </w:rPr>
        <w:t>Verificación de los hechos y confirmación de si efectivamente se trata de un caso de extorsión.</w:t>
      </w:r>
    </w:p>
    <w:p w:rsidR="00150B59" w:rsidRDefault="00666799">
      <w:pPr>
        <w:numPr>
          <w:ilvl w:val="0"/>
          <w:numId w:val="2"/>
        </w:numPr>
        <w:pBdr>
          <w:top w:val="nil"/>
          <w:left w:val="nil"/>
          <w:bottom w:val="nil"/>
          <w:right w:val="nil"/>
          <w:between w:val="nil"/>
        </w:pBdr>
        <w:ind w:left="821" w:right="499"/>
        <w:jc w:val="both"/>
        <w:rPr>
          <w:sz w:val="22"/>
          <w:szCs w:val="22"/>
        </w:rPr>
      </w:pPr>
      <w:r>
        <w:rPr>
          <w:sz w:val="22"/>
          <w:szCs w:val="22"/>
        </w:rPr>
        <w:t>Identificar si la víctima requiere atención con enfoque diferencial étnico, de género, personas con discapacidad, población víctima del conflicto armado, ciclo vital e interseccionalidad.</w:t>
      </w:r>
    </w:p>
    <w:p w:rsidR="00150B59" w:rsidRDefault="00666799">
      <w:pPr>
        <w:numPr>
          <w:ilvl w:val="0"/>
          <w:numId w:val="2"/>
        </w:numPr>
        <w:pBdr>
          <w:top w:val="nil"/>
          <w:left w:val="nil"/>
          <w:bottom w:val="nil"/>
          <w:right w:val="nil"/>
          <w:between w:val="nil"/>
        </w:pBdr>
        <w:ind w:left="821" w:right="498"/>
        <w:jc w:val="both"/>
        <w:rPr>
          <w:sz w:val="22"/>
          <w:szCs w:val="22"/>
        </w:rPr>
      </w:pPr>
      <w:r>
        <w:rPr>
          <w:sz w:val="22"/>
          <w:szCs w:val="22"/>
        </w:rPr>
        <w:t>Indagación de los hechos acaecidos, este paso debe realizarse mediante diálogo asertivo con la posible víctima: Quién cree que lo puede estar amenazando, por qué cree que lo amenazan, qué actividad podría estar poniendo en riesgo sus derechos a la vida, libertad, integridad o seguridad.</w:t>
      </w:r>
    </w:p>
    <w:p w:rsidR="00150B59" w:rsidRDefault="00666799">
      <w:pPr>
        <w:numPr>
          <w:ilvl w:val="0"/>
          <w:numId w:val="2"/>
        </w:numPr>
        <w:pBdr>
          <w:top w:val="nil"/>
          <w:left w:val="nil"/>
          <w:bottom w:val="nil"/>
          <w:right w:val="nil"/>
          <w:between w:val="nil"/>
        </w:pBdr>
        <w:spacing w:before="1"/>
        <w:ind w:left="821" w:right="495"/>
        <w:jc w:val="both"/>
        <w:rPr>
          <w:sz w:val="22"/>
          <w:szCs w:val="22"/>
        </w:rPr>
      </w:pPr>
      <w:r>
        <w:rPr>
          <w:sz w:val="22"/>
          <w:szCs w:val="22"/>
        </w:rPr>
        <w:t>Activar ruta en caso que la víctima no se tipifique como delito de extorsión y se trata de un engaño por parte de grupos no organizados o personas que aprovechan el terrorismo causado por las bandas organizadas.</w:t>
      </w:r>
    </w:p>
    <w:p w:rsidR="00150B59" w:rsidRDefault="00150B59">
      <w:pPr>
        <w:rPr>
          <w:rFonts w:ascii="Times New Roman" w:eastAsia="Times New Roman" w:hAnsi="Times New Roman" w:cs="Times New Roman"/>
        </w:rPr>
      </w:pPr>
    </w:p>
    <w:p w:rsidR="00150B59" w:rsidRDefault="00666799">
      <w:pPr>
        <w:pBdr>
          <w:top w:val="nil"/>
          <w:left w:val="nil"/>
          <w:bottom w:val="nil"/>
          <w:right w:val="nil"/>
          <w:between w:val="nil"/>
        </w:pBdr>
        <w:ind w:left="102" w:right="499"/>
        <w:jc w:val="both"/>
        <w:rPr>
          <w:rFonts w:ascii="Times New Roman" w:eastAsia="Times New Roman" w:hAnsi="Times New Roman" w:cs="Times New Roman"/>
        </w:rPr>
      </w:pPr>
      <w:r>
        <w:rPr>
          <w:b/>
          <w:sz w:val="22"/>
          <w:szCs w:val="22"/>
        </w:rPr>
        <w:t xml:space="preserve">Artículo 3. Atención Integral: </w:t>
      </w:r>
      <w:r>
        <w:rPr>
          <w:sz w:val="22"/>
          <w:szCs w:val="22"/>
        </w:rPr>
        <w:t xml:space="preserve">La Secretaría Distrital de Seguridad, Convivencia y Justicia o quien haga sus veces, a través de los equipos de Asistencia Integral a la </w:t>
      </w:r>
      <w:r>
        <w:rPr>
          <w:sz w:val="22"/>
          <w:szCs w:val="22"/>
        </w:rPr>
        <w:lastRenderedPageBreak/>
        <w:t>Denuncia (AIDE), garantizará la atención en modalidad presencial. Así mismo, se activará la Ruta de Atención Psicosocial y Jurídica en los casos que se requiera.</w:t>
      </w:r>
    </w:p>
    <w:p w:rsidR="00150B59" w:rsidRDefault="00150B59"/>
    <w:p w:rsidR="00150B59" w:rsidRDefault="00666799">
      <w:pPr>
        <w:pBdr>
          <w:top w:val="nil"/>
          <w:left w:val="nil"/>
          <w:bottom w:val="nil"/>
          <w:right w:val="nil"/>
          <w:between w:val="nil"/>
        </w:pBdr>
        <w:ind w:left="102" w:right="497"/>
        <w:jc w:val="both"/>
        <w:rPr>
          <w:rFonts w:ascii="Times New Roman" w:eastAsia="Times New Roman" w:hAnsi="Times New Roman" w:cs="Times New Roman"/>
        </w:rPr>
      </w:pPr>
      <w:r>
        <w:rPr>
          <w:b/>
          <w:sz w:val="22"/>
          <w:szCs w:val="22"/>
        </w:rPr>
        <w:t xml:space="preserve">Artículo 4. Medidas transitorias. </w:t>
      </w:r>
      <w:r>
        <w:rPr>
          <w:sz w:val="22"/>
          <w:szCs w:val="22"/>
        </w:rPr>
        <w:t>Se crearán medidas transitorias que disminuyan y mitiguen el riesgo. Las cuales incluirán: I) recepción de la denuncia, II) análisis del riesgo de la víctima y su familia, para la garantía del derecho a la vida, seguridad, salud, patrimonio económico, libertad e integridad. III) Acompañamiento policivo (rondas por las tiendas y/o comercios afectados).</w:t>
      </w:r>
    </w:p>
    <w:p w:rsidR="00150B59" w:rsidRDefault="00150B59"/>
    <w:p w:rsidR="00150B59" w:rsidRDefault="00666799">
      <w:pPr>
        <w:pBdr>
          <w:top w:val="nil"/>
          <w:left w:val="nil"/>
          <w:bottom w:val="nil"/>
          <w:right w:val="nil"/>
          <w:between w:val="nil"/>
        </w:pBdr>
        <w:ind w:left="102" w:right="500"/>
        <w:jc w:val="both"/>
        <w:rPr>
          <w:rFonts w:ascii="Times New Roman" w:eastAsia="Times New Roman" w:hAnsi="Times New Roman" w:cs="Times New Roman"/>
        </w:rPr>
      </w:pPr>
      <w:r>
        <w:rPr>
          <w:b/>
          <w:sz w:val="22"/>
          <w:szCs w:val="22"/>
        </w:rPr>
        <w:t>Artículo 5. Remisión</w:t>
      </w:r>
      <w:r>
        <w:rPr>
          <w:sz w:val="22"/>
          <w:szCs w:val="22"/>
        </w:rPr>
        <w:t>: se orientará a la víctima para la investigación criminal, por parte de la entidad competente: Fiscalía General de la Nación, Dirección de Investigación Criminal (DIJIN) e Interpol, la Seccional de Investigación Criminal (SIJIN), el Gaula de la Policía Nacional. Además, si es necesario se remitirá a la Unidad Nacional de Protección. Para lo anterior deben crear Plan de Contingencia.</w:t>
      </w:r>
    </w:p>
    <w:p w:rsidR="00150B59" w:rsidRDefault="00150B59"/>
    <w:p w:rsidR="00150B59" w:rsidRDefault="00666799">
      <w:pPr>
        <w:pBdr>
          <w:top w:val="nil"/>
          <w:left w:val="nil"/>
          <w:bottom w:val="nil"/>
          <w:right w:val="nil"/>
          <w:between w:val="nil"/>
        </w:pBdr>
        <w:ind w:left="102" w:right="495"/>
        <w:jc w:val="both"/>
        <w:rPr>
          <w:rFonts w:ascii="Times New Roman" w:eastAsia="Times New Roman" w:hAnsi="Times New Roman" w:cs="Times New Roman"/>
        </w:rPr>
      </w:pPr>
      <w:r>
        <w:rPr>
          <w:b/>
          <w:sz w:val="22"/>
          <w:szCs w:val="22"/>
        </w:rPr>
        <w:t xml:space="preserve">Artículo 6. Campañas de pedagogía en prevención: </w:t>
      </w:r>
      <w:r>
        <w:rPr>
          <w:sz w:val="22"/>
          <w:szCs w:val="22"/>
        </w:rPr>
        <w:t>estas campañas serán herramientas frente a la ruta de la denuncia, la prevención y la sensibilización. La difusión y divulgación preventiva se realizará en diversos canales y medios de comunicación, así como en instancias representativas y consultivas, instituciones particulares e instituciones públicas o privadas y colegios tanto públicos y privados.</w:t>
      </w:r>
    </w:p>
    <w:p w:rsidR="00150B59" w:rsidRDefault="00150B59"/>
    <w:p w:rsidR="00150B59" w:rsidRDefault="00666799">
      <w:pPr>
        <w:pBdr>
          <w:top w:val="nil"/>
          <w:left w:val="nil"/>
          <w:bottom w:val="nil"/>
          <w:right w:val="nil"/>
          <w:between w:val="nil"/>
        </w:pBdr>
        <w:ind w:left="102" w:right="498"/>
        <w:jc w:val="both"/>
        <w:rPr>
          <w:rFonts w:ascii="Times New Roman" w:eastAsia="Times New Roman" w:hAnsi="Times New Roman" w:cs="Times New Roman"/>
        </w:rPr>
      </w:pPr>
      <w:r>
        <w:rPr>
          <w:b/>
          <w:sz w:val="22"/>
          <w:szCs w:val="22"/>
        </w:rPr>
        <w:t xml:space="preserve">Parágrafo: </w:t>
      </w:r>
      <w:r>
        <w:rPr>
          <w:sz w:val="22"/>
          <w:szCs w:val="22"/>
        </w:rPr>
        <w:t>En el término de 4 meses después de sancionado y publicado el presente acuerdo, deberá elaborarse un ABC donde se indique a las posibles víctimas el modo de actuar frente a llamadas o contacto del victimario, el cual deberá contener  como mínimo mensajes de calma, indicaciones sobre a dónde comunicarse en caso de ser víctima, cómo atender la inmediatez del hecho extorsivo y otras.:</w:t>
      </w:r>
    </w:p>
    <w:p w:rsidR="00150B59" w:rsidRDefault="00666799">
      <w:pPr>
        <w:pBdr>
          <w:top w:val="nil"/>
          <w:left w:val="nil"/>
          <w:bottom w:val="nil"/>
          <w:right w:val="nil"/>
          <w:between w:val="nil"/>
        </w:pBdr>
        <w:spacing w:before="203"/>
        <w:ind w:right="494"/>
        <w:jc w:val="both"/>
        <w:rPr>
          <w:rFonts w:ascii="Times New Roman" w:eastAsia="Times New Roman" w:hAnsi="Times New Roman" w:cs="Times New Roman"/>
        </w:rPr>
      </w:pPr>
      <w:r>
        <w:rPr>
          <w:b/>
          <w:sz w:val="22"/>
          <w:szCs w:val="22"/>
        </w:rPr>
        <w:t>Artículo 7. Estrategias de articulación intersectorial y la empresa privada</w:t>
      </w:r>
      <w:r>
        <w:rPr>
          <w:sz w:val="22"/>
          <w:szCs w:val="22"/>
        </w:rPr>
        <w:t>: Buscar alianzas público - privadas, con la sociedad civil y la población en general. Continuar con la Cámara de Comercio ha articulado acciones en la prevención, protección y asistencia el trabajo conjunto y en red de actores gubernamentales con el sector privado.</w:t>
      </w:r>
    </w:p>
    <w:p w:rsidR="00150B59" w:rsidRDefault="00150B59"/>
    <w:p w:rsidR="00150B59" w:rsidRDefault="00666799">
      <w:pPr>
        <w:pBdr>
          <w:top w:val="nil"/>
          <w:left w:val="nil"/>
          <w:bottom w:val="nil"/>
          <w:right w:val="nil"/>
          <w:between w:val="nil"/>
        </w:pBdr>
        <w:ind w:left="102" w:right="494"/>
        <w:jc w:val="both"/>
        <w:rPr>
          <w:rFonts w:ascii="Times New Roman" w:eastAsia="Times New Roman" w:hAnsi="Times New Roman" w:cs="Times New Roman"/>
        </w:rPr>
      </w:pPr>
      <w:r>
        <w:rPr>
          <w:b/>
          <w:sz w:val="22"/>
          <w:szCs w:val="22"/>
        </w:rPr>
        <w:t xml:space="preserve">Artículo 8. Cumplimiento del acuerdo: </w:t>
      </w:r>
      <w:r>
        <w:rPr>
          <w:sz w:val="22"/>
          <w:szCs w:val="22"/>
        </w:rPr>
        <w:t>La Secretaría de Seguridad, Convivencia y Justicia o quien haga sus veces, remitirá periódicamente un informe al Concejo de Bogotá evidenciando el avance y cumplimiento de lo ordenado en este proyecto de acuerdo, para hacerle seguimiento a su implementación.</w:t>
      </w:r>
    </w:p>
    <w:p w:rsidR="00150B59" w:rsidRDefault="00150B59"/>
    <w:p w:rsidR="00150B59" w:rsidRDefault="00666799">
      <w:pPr>
        <w:pBdr>
          <w:top w:val="nil"/>
          <w:left w:val="nil"/>
          <w:bottom w:val="nil"/>
          <w:right w:val="nil"/>
          <w:between w:val="nil"/>
        </w:pBdr>
        <w:ind w:left="102"/>
        <w:jc w:val="both"/>
        <w:rPr>
          <w:sz w:val="22"/>
          <w:szCs w:val="22"/>
        </w:rPr>
      </w:pPr>
      <w:r>
        <w:rPr>
          <w:b/>
          <w:sz w:val="22"/>
          <w:szCs w:val="22"/>
        </w:rPr>
        <w:t xml:space="preserve">Artículo 9. Vigencia. </w:t>
      </w:r>
      <w:r>
        <w:rPr>
          <w:sz w:val="22"/>
          <w:szCs w:val="22"/>
        </w:rPr>
        <w:t>El presente Acuerdo rige a partir de la fecha de su publicación.</w:t>
      </w:r>
    </w:p>
    <w:p w:rsidR="00150B59" w:rsidRDefault="00150B59">
      <w:pPr>
        <w:pBdr>
          <w:top w:val="nil"/>
          <w:left w:val="nil"/>
          <w:bottom w:val="nil"/>
          <w:right w:val="nil"/>
          <w:between w:val="nil"/>
        </w:pBdr>
        <w:ind w:left="102"/>
        <w:jc w:val="both"/>
        <w:rPr>
          <w:rFonts w:ascii="Times New Roman" w:eastAsia="Times New Roman" w:hAnsi="Times New Roman" w:cs="Times New Roman"/>
        </w:rPr>
      </w:pPr>
    </w:p>
    <w:p w:rsidR="00150B59" w:rsidRDefault="00150B59">
      <w:pPr>
        <w:pBdr>
          <w:top w:val="nil"/>
          <w:left w:val="nil"/>
          <w:bottom w:val="nil"/>
          <w:right w:val="nil"/>
          <w:between w:val="nil"/>
        </w:pBdr>
        <w:ind w:left="102"/>
        <w:jc w:val="both"/>
        <w:rPr>
          <w:rFonts w:ascii="Times New Roman" w:eastAsia="Times New Roman" w:hAnsi="Times New Roman" w:cs="Times New Roman"/>
        </w:rPr>
      </w:pPr>
    </w:p>
    <w:p w:rsidR="00150B59" w:rsidRDefault="00666799">
      <w:pPr>
        <w:pBdr>
          <w:top w:val="nil"/>
          <w:left w:val="nil"/>
          <w:bottom w:val="nil"/>
          <w:right w:val="nil"/>
          <w:between w:val="nil"/>
        </w:pBdr>
        <w:ind w:left="102"/>
        <w:jc w:val="center"/>
        <w:rPr>
          <w:b/>
        </w:rPr>
      </w:pPr>
      <w:r>
        <w:rPr>
          <w:b/>
        </w:rPr>
        <w:t>PUBLIQUESE Y CUMPLASE</w:t>
      </w:r>
    </w:p>
    <w:p w:rsidR="00150B59" w:rsidRDefault="00150B59">
      <w:pPr>
        <w:pBdr>
          <w:top w:val="nil"/>
          <w:left w:val="nil"/>
          <w:bottom w:val="nil"/>
          <w:right w:val="nil"/>
          <w:between w:val="nil"/>
        </w:pBdr>
        <w:ind w:left="102"/>
        <w:jc w:val="both"/>
        <w:rPr>
          <w:rFonts w:ascii="Times New Roman" w:eastAsia="Times New Roman" w:hAnsi="Times New Roman" w:cs="Times New Roman"/>
        </w:rPr>
      </w:pPr>
    </w:p>
    <w:p w:rsidR="00150B59" w:rsidRDefault="00150B59">
      <w:pPr>
        <w:pBdr>
          <w:top w:val="nil"/>
          <w:left w:val="nil"/>
          <w:bottom w:val="nil"/>
          <w:right w:val="nil"/>
          <w:between w:val="nil"/>
        </w:pBdr>
        <w:ind w:left="102"/>
        <w:jc w:val="both"/>
        <w:rPr>
          <w:rFonts w:ascii="Times New Roman" w:eastAsia="Times New Roman" w:hAnsi="Times New Roman" w:cs="Times New Roman"/>
        </w:rPr>
      </w:pPr>
    </w:p>
    <w:p w:rsidR="00150B59" w:rsidRDefault="00150B59">
      <w:pPr>
        <w:pBdr>
          <w:top w:val="nil"/>
          <w:left w:val="nil"/>
          <w:bottom w:val="nil"/>
          <w:right w:val="nil"/>
          <w:between w:val="nil"/>
        </w:pBdr>
        <w:ind w:left="102"/>
        <w:jc w:val="both"/>
        <w:rPr>
          <w:rFonts w:ascii="Times New Roman" w:eastAsia="Times New Roman" w:hAnsi="Times New Roman" w:cs="Times New Roman"/>
        </w:rPr>
      </w:pPr>
    </w:p>
    <w:p w:rsidR="00150B59" w:rsidRDefault="00150B59">
      <w:pPr>
        <w:pBdr>
          <w:top w:val="nil"/>
          <w:left w:val="nil"/>
          <w:bottom w:val="nil"/>
          <w:right w:val="nil"/>
          <w:between w:val="nil"/>
        </w:pBdr>
        <w:ind w:left="102"/>
        <w:jc w:val="both"/>
        <w:rPr>
          <w:rFonts w:ascii="Times New Roman" w:eastAsia="Times New Roman" w:hAnsi="Times New Roman" w:cs="Times New Roman"/>
        </w:rPr>
      </w:pPr>
    </w:p>
    <w:p w:rsidR="00150B59" w:rsidRDefault="00150B59">
      <w:pPr>
        <w:pBdr>
          <w:top w:val="nil"/>
          <w:left w:val="nil"/>
          <w:bottom w:val="nil"/>
          <w:right w:val="nil"/>
          <w:between w:val="nil"/>
        </w:pBdr>
        <w:ind w:left="102"/>
        <w:jc w:val="both"/>
        <w:rPr>
          <w:rFonts w:ascii="Times New Roman" w:eastAsia="Times New Roman" w:hAnsi="Times New Roman" w:cs="Times New Roman"/>
        </w:rPr>
      </w:pPr>
    </w:p>
    <w:p w:rsidR="00150B59" w:rsidRDefault="00150B59">
      <w:pPr>
        <w:pBdr>
          <w:top w:val="nil"/>
          <w:left w:val="nil"/>
          <w:bottom w:val="nil"/>
          <w:right w:val="nil"/>
          <w:between w:val="nil"/>
        </w:pBdr>
        <w:ind w:left="102"/>
        <w:jc w:val="both"/>
        <w:rPr>
          <w:rFonts w:ascii="Times New Roman" w:eastAsia="Times New Roman" w:hAnsi="Times New Roman" w:cs="Times New Roman"/>
        </w:rPr>
      </w:pPr>
    </w:p>
    <w:p w:rsidR="00150B59" w:rsidRDefault="00150B59">
      <w:pPr>
        <w:pBdr>
          <w:top w:val="nil"/>
          <w:left w:val="nil"/>
          <w:bottom w:val="nil"/>
          <w:right w:val="nil"/>
          <w:between w:val="nil"/>
        </w:pBdr>
        <w:ind w:left="102"/>
        <w:jc w:val="both"/>
        <w:rPr>
          <w:rFonts w:ascii="Times New Roman" w:eastAsia="Times New Roman" w:hAnsi="Times New Roman" w:cs="Times New Roman"/>
        </w:rPr>
      </w:pPr>
    </w:p>
    <w:p w:rsidR="00150B59" w:rsidRDefault="00666799">
      <w:pPr>
        <w:pBdr>
          <w:top w:val="nil"/>
          <w:left w:val="nil"/>
          <w:bottom w:val="nil"/>
          <w:right w:val="nil"/>
          <w:between w:val="nil"/>
        </w:pBdr>
        <w:spacing w:before="240" w:after="240"/>
        <w:jc w:val="center"/>
        <w:rPr>
          <w:b/>
          <w:sz w:val="22"/>
          <w:szCs w:val="22"/>
        </w:rPr>
      </w:pPr>
      <w:r>
        <w:rPr>
          <w:b/>
          <w:sz w:val="22"/>
          <w:szCs w:val="22"/>
        </w:rPr>
        <w:t xml:space="preserve"> PLIEGO DE MODIFICACIONES</w:t>
      </w:r>
    </w:p>
    <w:tbl>
      <w:tblPr>
        <w:tblStyle w:val="a1"/>
        <w:tblW w:w="892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60"/>
        <w:gridCol w:w="4365"/>
      </w:tblGrid>
      <w:tr w:rsidR="00150B59">
        <w:trPr>
          <w:trHeight w:val="400"/>
        </w:trPr>
        <w:tc>
          <w:tcPr>
            <w:tcW w:w="4560" w:type="dxa"/>
          </w:tcPr>
          <w:p w:rsidR="00150B59" w:rsidRDefault="00666799">
            <w:pPr>
              <w:spacing w:line="276" w:lineRule="auto"/>
              <w:jc w:val="center"/>
              <w:rPr>
                <w:b/>
                <w:sz w:val="22"/>
                <w:szCs w:val="22"/>
              </w:rPr>
            </w:pPr>
            <w:r>
              <w:rPr>
                <w:b/>
                <w:sz w:val="22"/>
                <w:szCs w:val="22"/>
              </w:rPr>
              <w:t>ORIGINAL PROYECTO DE ACUERDO 049 DE 2025</w:t>
            </w:r>
          </w:p>
        </w:tc>
        <w:tc>
          <w:tcPr>
            <w:tcW w:w="4365" w:type="dxa"/>
          </w:tcPr>
          <w:p w:rsidR="00150B59" w:rsidRDefault="00666799">
            <w:pPr>
              <w:spacing w:line="276" w:lineRule="auto"/>
              <w:jc w:val="center"/>
              <w:rPr>
                <w:b/>
                <w:sz w:val="22"/>
                <w:szCs w:val="22"/>
              </w:rPr>
            </w:pPr>
            <w:r>
              <w:rPr>
                <w:b/>
                <w:sz w:val="22"/>
                <w:szCs w:val="22"/>
              </w:rPr>
              <w:t>MODIFICACIÓN PROPUESTA</w:t>
            </w:r>
          </w:p>
        </w:tc>
      </w:tr>
      <w:tr w:rsidR="00150B59">
        <w:tc>
          <w:tcPr>
            <w:tcW w:w="4560" w:type="dxa"/>
          </w:tcPr>
          <w:p w:rsidR="00150B59" w:rsidRDefault="00666799">
            <w:pPr>
              <w:pBdr>
                <w:top w:val="nil"/>
                <w:left w:val="nil"/>
                <w:bottom w:val="nil"/>
                <w:right w:val="nil"/>
                <w:between w:val="nil"/>
              </w:pBdr>
              <w:tabs>
                <w:tab w:val="center" w:pos="4252"/>
                <w:tab w:val="right" w:pos="8504"/>
              </w:tabs>
              <w:spacing w:line="276" w:lineRule="auto"/>
              <w:jc w:val="both"/>
              <w:rPr>
                <w:sz w:val="22"/>
                <w:szCs w:val="22"/>
              </w:rPr>
            </w:pPr>
            <w:r>
              <w:rPr>
                <w:sz w:val="22"/>
                <w:szCs w:val="22"/>
              </w:rPr>
              <w:t>“POR MEDIO DEL CUAL SE ESTABLECEN LINEAMIENTOS PARA LA CREACIÓN DE UNA ÚNICA RUTA DE DENUNCIA Y ATENCIÓN INTEGRAL PARA LAS VÍCTIMAS DE EXTORSIÓN EN EL DISTRITO CAPITAL”</w:t>
            </w:r>
          </w:p>
        </w:tc>
        <w:tc>
          <w:tcPr>
            <w:tcW w:w="4365" w:type="dxa"/>
          </w:tcPr>
          <w:p w:rsidR="00150B59" w:rsidRDefault="00666799">
            <w:pPr>
              <w:spacing w:line="276" w:lineRule="auto"/>
              <w:jc w:val="both"/>
              <w:rPr>
                <w:sz w:val="22"/>
                <w:szCs w:val="22"/>
              </w:rPr>
            </w:pPr>
            <w:r>
              <w:rPr>
                <w:sz w:val="22"/>
                <w:szCs w:val="22"/>
              </w:rPr>
              <w:t xml:space="preserve">“POR MEDIO DEL CUAL SE ESTABLECEN LINEAMIENTOS PARA EL </w:t>
            </w:r>
            <w:r>
              <w:rPr>
                <w:color w:val="FF0000"/>
                <w:sz w:val="22"/>
                <w:szCs w:val="22"/>
              </w:rPr>
              <w:t xml:space="preserve">FORTALECIMIENTO DE LA RUTA </w:t>
            </w:r>
            <w:r>
              <w:rPr>
                <w:sz w:val="22"/>
                <w:szCs w:val="22"/>
              </w:rPr>
              <w:t xml:space="preserve">DE DENUNCIA Y ATENCIÓN INTEGRAL PARA LAS VÍCTIMAS DE EXTORSIÓN EN EL DISTRITO CAPITAL” </w:t>
            </w:r>
          </w:p>
        </w:tc>
      </w:tr>
      <w:tr w:rsidR="00150B59">
        <w:trPr>
          <w:trHeight w:val="3534"/>
        </w:trPr>
        <w:tc>
          <w:tcPr>
            <w:tcW w:w="4560" w:type="dxa"/>
          </w:tcPr>
          <w:p w:rsidR="00150B59" w:rsidRDefault="00666799">
            <w:pPr>
              <w:spacing w:line="276" w:lineRule="auto"/>
              <w:jc w:val="center"/>
              <w:rPr>
                <w:b/>
                <w:sz w:val="22"/>
                <w:szCs w:val="22"/>
              </w:rPr>
            </w:pPr>
            <w:r>
              <w:rPr>
                <w:b/>
                <w:sz w:val="22"/>
                <w:szCs w:val="22"/>
              </w:rPr>
              <w:t>EL CONCEJO DE BOGOTÁ D. C.</w:t>
            </w:r>
          </w:p>
          <w:p w:rsidR="00150B59" w:rsidRDefault="00150B59">
            <w:pPr>
              <w:spacing w:line="276" w:lineRule="auto"/>
              <w:jc w:val="center"/>
              <w:rPr>
                <w:b/>
                <w:sz w:val="22"/>
                <w:szCs w:val="22"/>
              </w:rPr>
            </w:pPr>
          </w:p>
          <w:p w:rsidR="00150B59" w:rsidRDefault="00666799">
            <w:pPr>
              <w:spacing w:line="276" w:lineRule="auto"/>
              <w:ind w:right="211"/>
              <w:jc w:val="center"/>
            </w:pPr>
            <w:r>
              <w:t>En ejercicio de sus atribuciones constitucionales y legales, que le confiere el numeral 1, 7, 8 y 23 del artículo 12 del Decreto Ley 1421 de 1993,</w:t>
            </w:r>
          </w:p>
          <w:p w:rsidR="00150B59" w:rsidRDefault="00150B59">
            <w:pPr>
              <w:pBdr>
                <w:top w:val="nil"/>
                <w:left w:val="nil"/>
                <w:bottom w:val="nil"/>
                <w:right w:val="nil"/>
                <w:between w:val="nil"/>
              </w:pBdr>
              <w:spacing w:after="150"/>
              <w:jc w:val="center"/>
            </w:pPr>
          </w:p>
          <w:p w:rsidR="00150B59" w:rsidRDefault="00150B59">
            <w:pPr>
              <w:pBdr>
                <w:top w:val="nil"/>
                <w:left w:val="nil"/>
                <w:bottom w:val="nil"/>
                <w:right w:val="nil"/>
                <w:between w:val="nil"/>
              </w:pBdr>
              <w:spacing w:after="150"/>
              <w:jc w:val="center"/>
              <w:rPr>
                <w:rFonts w:ascii="Times New Roman" w:eastAsia="Times New Roman" w:hAnsi="Times New Roman" w:cs="Times New Roman"/>
              </w:rPr>
            </w:pPr>
          </w:p>
          <w:p w:rsidR="00150B59" w:rsidRDefault="00666799">
            <w:pPr>
              <w:spacing w:line="276" w:lineRule="auto"/>
              <w:jc w:val="center"/>
              <w:rPr>
                <w:b/>
                <w:sz w:val="22"/>
                <w:szCs w:val="22"/>
              </w:rPr>
            </w:pPr>
            <w:r>
              <w:rPr>
                <w:b/>
                <w:sz w:val="22"/>
                <w:szCs w:val="22"/>
              </w:rPr>
              <w:t>ACUERDA:</w:t>
            </w:r>
          </w:p>
          <w:p w:rsidR="00150B59" w:rsidRDefault="00666799">
            <w:pPr>
              <w:tabs>
                <w:tab w:val="left" w:pos="3738"/>
              </w:tabs>
              <w:rPr>
                <w:sz w:val="22"/>
                <w:szCs w:val="22"/>
              </w:rPr>
            </w:pPr>
            <w:r>
              <w:rPr>
                <w:sz w:val="22"/>
                <w:szCs w:val="22"/>
              </w:rPr>
              <w:tab/>
              <w:t>:</w:t>
            </w:r>
          </w:p>
        </w:tc>
        <w:tc>
          <w:tcPr>
            <w:tcW w:w="4365" w:type="dxa"/>
          </w:tcPr>
          <w:p w:rsidR="00150B59" w:rsidRDefault="00666799">
            <w:pPr>
              <w:spacing w:line="276" w:lineRule="auto"/>
              <w:ind w:right="211"/>
              <w:rPr>
                <w:b/>
                <w:sz w:val="22"/>
                <w:szCs w:val="22"/>
              </w:rPr>
            </w:pPr>
            <w:r>
              <w:rPr>
                <w:b/>
                <w:sz w:val="22"/>
                <w:szCs w:val="22"/>
              </w:rPr>
              <w:t>EL CONCEJO DE BOGOTÁ D. C.</w:t>
            </w:r>
          </w:p>
          <w:p w:rsidR="00150B59" w:rsidRDefault="00150B59">
            <w:pPr>
              <w:spacing w:line="276" w:lineRule="auto"/>
              <w:ind w:right="211"/>
              <w:jc w:val="center"/>
              <w:rPr>
                <w:sz w:val="22"/>
                <w:szCs w:val="22"/>
              </w:rPr>
            </w:pPr>
          </w:p>
          <w:p w:rsidR="00150B59" w:rsidRDefault="00150B59">
            <w:pPr>
              <w:spacing w:line="276" w:lineRule="auto"/>
              <w:ind w:right="211"/>
              <w:jc w:val="center"/>
              <w:rPr>
                <w:sz w:val="22"/>
                <w:szCs w:val="22"/>
              </w:rPr>
            </w:pPr>
          </w:p>
          <w:p w:rsidR="00150B59" w:rsidRDefault="00150B59">
            <w:pPr>
              <w:spacing w:line="276" w:lineRule="auto"/>
              <w:ind w:right="211"/>
              <w:jc w:val="center"/>
              <w:rPr>
                <w:sz w:val="22"/>
                <w:szCs w:val="22"/>
              </w:rPr>
            </w:pPr>
          </w:p>
          <w:p w:rsidR="00150B59" w:rsidRDefault="00666799">
            <w:pPr>
              <w:spacing w:line="276" w:lineRule="auto"/>
              <w:ind w:right="211"/>
              <w:jc w:val="center"/>
              <w:rPr>
                <w:sz w:val="22"/>
                <w:szCs w:val="22"/>
              </w:rPr>
            </w:pPr>
            <w:r>
              <w:rPr>
                <w:sz w:val="22"/>
                <w:szCs w:val="22"/>
              </w:rPr>
              <w:t>QUEDA IGUAL</w:t>
            </w:r>
          </w:p>
          <w:p w:rsidR="00150B59" w:rsidRDefault="00150B59">
            <w:pPr>
              <w:spacing w:line="276" w:lineRule="auto"/>
              <w:ind w:right="211"/>
              <w:jc w:val="center"/>
              <w:rPr>
                <w:color w:val="FF0000"/>
                <w:sz w:val="22"/>
                <w:szCs w:val="22"/>
              </w:rPr>
            </w:pPr>
          </w:p>
          <w:p w:rsidR="00150B59" w:rsidRDefault="00150B59">
            <w:pPr>
              <w:spacing w:line="276" w:lineRule="auto"/>
              <w:ind w:right="211"/>
              <w:jc w:val="center"/>
              <w:rPr>
                <w:color w:val="FF0000"/>
                <w:sz w:val="22"/>
                <w:szCs w:val="22"/>
              </w:rPr>
            </w:pPr>
          </w:p>
          <w:p w:rsidR="00150B59" w:rsidRDefault="00150B59">
            <w:pPr>
              <w:spacing w:line="276" w:lineRule="auto"/>
              <w:ind w:right="211"/>
              <w:jc w:val="center"/>
              <w:rPr>
                <w:color w:val="FF0000"/>
                <w:sz w:val="22"/>
                <w:szCs w:val="22"/>
              </w:rPr>
            </w:pPr>
          </w:p>
          <w:p w:rsidR="00150B59" w:rsidRDefault="00150B59">
            <w:pPr>
              <w:spacing w:line="276" w:lineRule="auto"/>
              <w:ind w:right="211"/>
              <w:jc w:val="center"/>
              <w:rPr>
                <w:b/>
                <w:sz w:val="22"/>
                <w:szCs w:val="22"/>
              </w:rPr>
            </w:pPr>
          </w:p>
          <w:p w:rsidR="00150B59" w:rsidRDefault="00150B59">
            <w:pPr>
              <w:spacing w:line="276" w:lineRule="auto"/>
              <w:ind w:right="211"/>
              <w:jc w:val="center"/>
              <w:rPr>
                <w:b/>
                <w:sz w:val="22"/>
                <w:szCs w:val="22"/>
              </w:rPr>
            </w:pPr>
          </w:p>
          <w:p w:rsidR="00150B59" w:rsidRDefault="00666799">
            <w:pPr>
              <w:spacing w:line="276" w:lineRule="auto"/>
              <w:ind w:right="211"/>
              <w:jc w:val="center"/>
              <w:rPr>
                <w:b/>
                <w:color w:val="FF0000"/>
                <w:sz w:val="22"/>
                <w:szCs w:val="22"/>
              </w:rPr>
            </w:pPr>
            <w:r>
              <w:rPr>
                <w:b/>
                <w:sz w:val="22"/>
                <w:szCs w:val="22"/>
              </w:rPr>
              <w:t>ACUERDA:</w:t>
            </w:r>
          </w:p>
        </w:tc>
      </w:tr>
      <w:tr w:rsidR="00150B59">
        <w:tc>
          <w:tcPr>
            <w:tcW w:w="4560" w:type="dxa"/>
          </w:tcPr>
          <w:p w:rsidR="00150B59" w:rsidRDefault="00150B59">
            <w:pPr>
              <w:spacing w:line="276" w:lineRule="auto"/>
              <w:rPr>
                <w:b/>
                <w:sz w:val="22"/>
                <w:szCs w:val="22"/>
              </w:rPr>
            </w:pPr>
          </w:p>
          <w:p w:rsidR="00150B59" w:rsidRDefault="00666799">
            <w:pPr>
              <w:widowControl w:val="0"/>
              <w:spacing w:before="1" w:line="480" w:lineRule="auto"/>
              <w:ind w:right="381"/>
              <w:jc w:val="center"/>
              <w:rPr>
                <w:b/>
                <w:sz w:val="22"/>
                <w:szCs w:val="22"/>
              </w:rPr>
            </w:pPr>
            <w:r>
              <w:rPr>
                <w:b/>
                <w:sz w:val="22"/>
                <w:szCs w:val="22"/>
              </w:rPr>
              <w:t>CAPÍTULO  1</w:t>
            </w:r>
          </w:p>
          <w:p w:rsidR="00150B59" w:rsidRDefault="00666799">
            <w:pPr>
              <w:widowControl w:val="0"/>
              <w:spacing w:before="1" w:line="480" w:lineRule="auto"/>
              <w:ind w:right="-43"/>
              <w:jc w:val="center"/>
              <w:rPr>
                <w:b/>
                <w:sz w:val="22"/>
                <w:szCs w:val="22"/>
              </w:rPr>
            </w:pPr>
            <w:r>
              <w:rPr>
                <w:b/>
                <w:sz w:val="22"/>
                <w:szCs w:val="22"/>
              </w:rPr>
              <w:t>DISPOSICIONES GENERALES</w:t>
            </w:r>
          </w:p>
          <w:p w:rsidR="00150B59" w:rsidRDefault="00666799">
            <w:pPr>
              <w:jc w:val="both"/>
              <w:rPr>
                <w:sz w:val="22"/>
                <w:szCs w:val="22"/>
              </w:rPr>
            </w:pPr>
            <w:r>
              <w:rPr>
                <w:b/>
                <w:sz w:val="22"/>
                <w:szCs w:val="22"/>
              </w:rPr>
              <w:t>Artículo 1</w:t>
            </w:r>
            <w:r>
              <w:rPr>
                <w:sz w:val="22"/>
                <w:szCs w:val="22"/>
              </w:rPr>
              <w:t>. Establecer lineamientos para la creación de una ruta que garantice la denuncia y la atención integral a las víctimas de extorsión en el Distrito Capital</w:t>
            </w:r>
          </w:p>
        </w:tc>
        <w:tc>
          <w:tcPr>
            <w:tcW w:w="4365" w:type="dxa"/>
          </w:tcPr>
          <w:p w:rsidR="00150B59" w:rsidRDefault="00150B59">
            <w:pPr>
              <w:jc w:val="both"/>
              <w:rPr>
                <w:b/>
                <w:sz w:val="22"/>
                <w:szCs w:val="22"/>
              </w:rPr>
            </w:pPr>
          </w:p>
          <w:p w:rsidR="00150B59" w:rsidRDefault="00150B59">
            <w:pPr>
              <w:ind w:right="-238"/>
              <w:jc w:val="both"/>
              <w:rPr>
                <w:b/>
                <w:sz w:val="22"/>
                <w:szCs w:val="22"/>
              </w:rPr>
            </w:pPr>
          </w:p>
          <w:p w:rsidR="00150B59" w:rsidRDefault="00150B59">
            <w:pPr>
              <w:ind w:right="498"/>
              <w:jc w:val="both"/>
            </w:pPr>
          </w:p>
          <w:p w:rsidR="00150B59" w:rsidRDefault="00666799">
            <w:pPr>
              <w:ind w:right="498"/>
              <w:jc w:val="both"/>
              <w:rPr>
                <w:b/>
                <w:sz w:val="22"/>
                <w:szCs w:val="22"/>
              </w:rPr>
            </w:pPr>
            <w:r>
              <w:rPr>
                <w:b/>
                <w:sz w:val="22"/>
                <w:szCs w:val="22"/>
              </w:rPr>
              <w:t>Artículo 1</w:t>
            </w:r>
            <w:r>
              <w:rPr>
                <w:sz w:val="22"/>
                <w:szCs w:val="22"/>
              </w:rPr>
              <w:t xml:space="preserve">. </w:t>
            </w:r>
            <w:r>
              <w:rPr>
                <w:b/>
                <w:color w:val="FF0000"/>
                <w:sz w:val="22"/>
                <w:szCs w:val="22"/>
              </w:rPr>
              <w:t>Objeto</w:t>
            </w:r>
            <w:r>
              <w:rPr>
                <w:color w:val="FF0000"/>
                <w:sz w:val="22"/>
                <w:szCs w:val="22"/>
              </w:rPr>
              <w:t>.</w:t>
            </w:r>
            <w:r>
              <w:rPr>
                <w:sz w:val="22"/>
                <w:szCs w:val="22"/>
              </w:rPr>
              <w:t xml:space="preserve"> Establecer lineamientos para la creación de una ruta que garantice la denuncia y la atención integral a las víctimas de extorsión en el Distrito Capital.</w:t>
            </w:r>
          </w:p>
        </w:tc>
      </w:tr>
      <w:tr w:rsidR="00150B59">
        <w:tc>
          <w:tcPr>
            <w:tcW w:w="4560" w:type="dxa"/>
          </w:tcPr>
          <w:p w:rsidR="00150B59" w:rsidRDefault="00666799">
            <w:pPr>
              <w:pBdr>
                <w:top w:val="nil"/>
                <w:left w:val="nil"/>
                <w:bottom w:val="nil"/>
                <w:right w:val="nil"/>
                <w:between w:val="nil"/>
              </w:pBdr>
              <w:spacing w:before="93"/>
              <w:ind w:left="102" w:right="498"/>
              <w:jc w:val="both"/>
              <w:rPr>
                <w:rFonts w:ascii="Times New Roman" w:eastAsia="Times New Roman" w:hAnsi="Times New Roman" w:cs="Times New Roman"/>
              </w:rPr>
            </w:pPr>
            <w:r>
              <w:rPr>
                <w:b/>
                <w:sz w:val="22"/>
                <w:szCs w:val="22"/>
              </w:rPr>
              <w:lastRenderedPageBreak/>
              <w:t>Artículo 2</w:t>
            </w:r>
            <w:r>
              <w:rPr>
                <w:sz w:val="22"/>
                <w:szCs w:val="22"/>
              </w:rPr>
              <w:t xml:space="preserve">. </w:t>
            </w:r>
            <w:r>
              <w:rPr>
                <w:b/>
                <w:sz w:val="22"/>
                <w:szCs w:val="22"/>
              </w:rPr>
              <w:t xml:space="preserve">Identificación del caso. </w:t>
            </w:r>
            <w:r>
              <w:rPr>
                <w:sz w:val="22"/>
                <w:szCs w:val="22"/>
              </w:rPr>
              <w:t>La Secretaría Distrital de Seguridad, Convivencia y Justicia o quien haga sus veces, destinará al equipo de atención a la denuncia, para la recepción y atención del caso.</w:t>
            </w:r>
          </w:p>
          <w:p w:rsidR="00150B59" w:rsidRDefault="00150B59"/>
          <w:p w:rsidR="00150B59" w:rsidRDefault="00666799">
            <w:pPr>
              <w:pBdr>
                <w:top w:val="nil"/>
                <w:left w:val="nil"/>
                <w:bottom w:val="nil"/>
                <w:right w:val="nil"/>
                <w:between w:val="nil"/>
              </w:pBdr>
              <w:ind w:left="102" w:right="492"/>
              <w:jc w:val="both"/>
              <w:rPr>
                <w:rFonts w:ascii="Times New Roman" w:eastAsia="Times New Roman" w:hAnsi="Times New Roman" w:cs="Times New Roman"/>
              </w:rPr>
            </w:pPr>
            <w:r>
              <w:rPr>
                <w:sz w:val="22"/>
                <w:szCs w:val="22"/>
              </w:rPr>
              <w:t>Parágrafo: El equipo que realizará la identificación conforme al tipo de extorsión se desarrollará de acuerdo con los siguientes criterios:</w:t>
            </w:r>
          </w:p>
          <w:p w:rsidR="00150B59" w:rsidRDefault="00150B59"/>
          <w:p w:rsidR="00150B59" w:rsidRDefault="00666799">
            <w:pPr>
              <w:numPr>
                <w:ilvl w:val="0"/>
                <w:numId w:val="2"/>
              </w:numPr>
              <w:pBdr>
                <w:top w:val="nil"/>
                <w:left w:val="nil"/>
                <w:bottom w:val="nil"/>
                <w:right w:val="nil"/>
                <w:between w:val="nil"/>
              </w:pBdr>
              <w:ind w:left="821" w:right="501"/>
              <w:jc w:val="both"/>
              <w:rPr>
                <w:sz w:val="22"/>
                <w:szCs w:val="22"/>
              </w:rPr>
            </w:pPr>
            <w:r>
              <w:rPr>
                <w:sz w:val="22"/>
                <w:szCs w:val="22"/>
              </w:rPr>
              <w:t>Verificación de los hechos y confirmación de si efectivamente se trata de un caso de extorsión.</w:t>
            </w:r>
          </w:p>
          <w:p w:rsidR="00150B59" w:rsidRDefault="00666799">
            <w:pPr>
              <w:numPr>
                <w:ilvl w:val="0"/>
                <w:numId w:val="2"/>
              </w:numPr>
              <w:pBdr>
                <w:top w:val="nil"/>
                <w:left w:val="nil"/>
                <w:bottom w:val="nil"/>
                <w:right w:val="nil"/>
                <w:between w:val="nil"/>
              </w:pBdr>
              <w:ind w:left="821" w:right="499"/>
              <w:jc w:val="both"/>
              <w:rPr>
                <w:sz w:val="22"/>
                <w:szCs w:val="22"/>
              </w:rPr>
            </w:pPr>
            <w:r>
              <w:rPr>
                <w:sz w:val="22"/>
                <w:szCs w:val="22"/>
              </w:rPr>
              <w:t>Identificar si la víctima requiere atención con enfoque diferencial étnico, de género, personas con discapacidad, población víctima del conflicto armado, ciclo vital e interseccionalidad.</w:t>
            </w:r>
          </w:p>
          <w:p w:rsidR="00150B59" w:rsidRDefault="00666799">
            <w:pPr>
              <w:numPr>
                <w:ilvl w:val="0"/>
                <w:numId w:val="2"/>
              </w:numPr>
              <w:pBdr>
                <w:top w:val="nil"/>
                <w:left w:val="nil"/>
                <w:bottom w:val="nil"/>
                <w:right w:val="nil"/>
                <w:between w:val="nil"/>
              </w:pBdr>
              <w:ind w:left="821" w:right="498"/>
              <w:jc w:val="both"/>
              <w:rPr>
                <w:sz w:val="22"/>
                <w:szCs w:val="22"/>
              </w:rPr>
            </w:pPr>
            <w:r>
              <w:rPr>
                <w:sz w:val="22"/>
                <w:szCs w:val="22"/>
              </w:rPr>
              <w:t>Indagación de los hechos acaecidos, este paso debe realizarse mediante diálogo asertivo con la posible víctima: Quién cree que lo puede estar amenazando, por qué cree que lo amenazan, qué actividad podría estar poniendo en riesgo sus derechos a la vida, libertad, integridad o seguridad.</w:t>
            </w:r>
          </w:p>
          <w:p w:rsidR="00150B59" w:rsidRDefault="00666799">
            <w:pPr>
              <w:numPr>
                <w:ilvl w:val="0"/>
                <w:numId w:val="2"/>
              </w:numPr>
              <w:pBdr>
                <w:top w:val="nil"/>
                <w:left w:val="nil"/>
                <w:bottom w:val="nil"/>
                <w:right w:val="nil"/>
                <w:between w:val="nil"/>
              </w:pBdr>
              <w:spacing w:before="1"/>
              <w:ind w:left="821" w:right="495"/>
              <w:jc w:val="both"/>
              <w:rPr>
                <w:sz w:val="22"/>
                <w:szCs w:val="22"/>
              </w:rPr>
            </w:pPr>
            <w:r>
              <w:rPr>
                <w:sz w:val="22"/>
                <w:szCs w:val="22"/>
              </w:rPr>
              <w:t>Activar ruta en caso que la víctima no se tipifique como delito de extorsión y se trata de un engaño por parte de grupos no organizados o personas que aprovechan el terrorismo causado por las bandas organizadas.</w:t>
            </w:r>
          </w:p>
          <w:p w:rsidR="00150B59" w:rsidRDefault="00150B59">
            <w:pPr>
              <w:spacing w:line="276" w:lineRule="auto"/>
              <w:rPr>
                <w:b/>
                <w:sz w:val="22"/>
                <w:szCs w:val="22"/>
              </w:rPr>
            </w:pPr>
          </w:p>
        </w:tc>
        <w:tc>
          <w:tcPr>
            <w:tcW w:w="4365" w:type="dxa"/>
          </w:tcPr>
          <w:p w:rsidR="00150B59" w:rsidRDefault="00666799">
            <w:pPr>
              <w:pBdr>
                <w:top w:val="nil"/>
                <w:left w:val="nil"/>
                <w:bottom w:val="nil"/>
                <w:right w:val="nil"/>
                <w:between w:val="nil"/>
              </w:pBdr>
              <w:spacing w:before="93"/>
              <w:ind w:left="102" w:right="498"/>
              <w:jc w:val="both"/>
              <w:rPr>
                <w:rFonts w:ascii="Times New Roman" w:eastAsia="Times New Roman" w:hAnsi="Times New Roman" w:cs="Times New Roman"/>
              </w:rPr>
            </w:pPr>
            <w:r>
              <w:rPr>
                <w:b/>
                <w:sz w:val="22"/>
                <w:szCs w:val="22"/>
              </w:rPr>
              <w:lastRenderedPageBreak/>
              <w:t>Artículo 2</w:t>
            </w:r>
            <w:r>
              <w:rPr>
                <w:sz w:val="22"/>
                <w:szCs w:val="22"/>
              </w:rPr>
              <w:t xml:space="preserve">. </w:t>
            </w:r>
            <w:r>
              <w:rPr>
                <w:b/>
                <w:sz w:val="22"/>
                <w:szCs w:val="22"/>
              </w:rPr>
              <w:t xml:space="preserve">Identificación del caso. </w:t>
            </w:r>
            <w:r>
              <w:rPr>
                <w:sz w:val="22"/>
                <w:szCs w:val="22"/>
              </w:rPr>
              <w:t>La Secretaría Distrital de Seguridad, Convivencia y Justicia o quien haga sus veces, destinará al equipo de atención a la denuncia, para la recepción y atención del caso.</w:t>
            </w:r>
          </w:p>
          <w:p w:rsidR="00150B59" w:rsidRDefault="00150B59"/>
          <w:p w:rsidR="00150B59" w:rsidRDefault="00666799">
            <w:pPr>
              <w:pBdr>
                <w:top w:val="nil"/>
                <w:left w:val="nil"/>
                <w:bottom w:val="nil"/>
                <w:right w:val="nil"/>
                <w:between w:val="nil"/>
              </w:pBdr>
              <w:ind w:left="102" w:right="492"/>
              <w:jc w:val="both"/>
              <w:rPr>
                <w:rFonts w:ascii="Times New Roman" w:eastAsia="Times New Roman" w:hAnsi="Times New Roman" w:cs="Times New Roman"/>
              </w:rPr>
            </w:pPr>
            <w:r>
              <w:rPr>
                <w:sz w:val="22"/>
                <w:szCs w:val="22"/>
              </w:rPr>
              <w:t>Parágrafo: El equipo que realizará la identificación conforme al tipo de extorsión se desarrollará de acuerdo con los siguientes criterios:</w:t>
            </w:r>
          </w:p>
          <w:p w:rsidR="00150B59" w:rsidRDefault="00150B59"/>
          <w:p w:rsidR="00150B59" w:rsidRDefault="00666799">
            <w:pPr>
              <w:numPr>
                <w:ilvl w:val="0"/>
                <w:numId w:val="2"/>
              </w:numPr>
              <w:pBdr>
                <w:top w:val="nil"/>
                <w:left w:val="nil"/>
                <w:bottom w:val="nil"/>
                <w:right w:val="nil"/>
                <w:between w:val="nil"/>
              </w:pBdr>
              <w:ind w:left="821" w:right="501"/>
              <w:jc w:val="both"/>
              <w:rPr>
                <w:sz w:val="22"/>
                <w:szCs w:val="22"/>
              </w:rPr>
            </w:pPr>
            <w:r>
              <w:rPr>
                <w:sz w:val="22"/>
                <w:szCs w:val="22"/>
              </w:rPr>
              <w:t>Verificación de los hechos y confirmación de si efectivamente se trata de un caso de extorsión.</w:t>
            </w:r>
          </w:p>
          <w:p w:rsidR="00150B59" w:rsidRDefault="00666799">
            <w:pPr>
              <w:numPr>
                <w:ilvl w:val="0"/>
                <w:numId w:val="2"/>
              </w:numPr>
              <w:pBdr>
                <w:top w:val="nil"/>
                <w:left w:val="nil"/>
                <w:bottom w:val="nil"/>
                <w:right w:val="nil"/>
                <w:between w:val="nil"/>
              </w:pBdr>
              <w:ind w:left="821" w:right="499"/>
              <w:jc w:val="both"/>
              <w:rPr>
                <w:sz w:val="22"/>
                <w:szCs w:val="22"/>
              </w:rPr>
            </w:pPr>
            <w:r>
              <w:rPr>
                <w:sz w:val="22"/>
                <w:szCs w:val="22"/>
              </w:rPr>
              <w:t>Identificar si la víctima requiere atención con enfoque diferencial étnico, de género, personas con discapacidad, población víctima del conflicto armado, ciclo vital e interseccionalidad.</w:t>
            </w:r>
          </w:p>
          <w:p w:rsidR="00150B59" w:rsidRDefault="00666799">
            <w:pPr>
              <w:numPr>
                <w:ilvl w:val="0"/>
                <w:numId w:val="2"/>
              </w:numPr>
              <w:pBdr>
                <w:top w:val="nil"/>
                <w:left w:val="nil"/>
                <w:bottom w:val="nil"/>
                <w:right w:val="nil"/>
                <w:between w:val="nil"/>
              </w:pBdr>
              <w:ind w:left="821" w:right="498"/>
              <w:jc w:val="both"/>
              <w:rPr>
                <w:sz w:val="22"/>
                <w:szCs w:val="22"/>
              </w:rPr>
            </w:pPr>
            <w:r>
              <w:rPr>
                <w:sz w:val="22"/>
                <w:szCs w:val="22"/>
              </w:rPr>
              <w:t xml:space="preserve">Indagación de los hechos acaecidos, este paso debe realizarse mediante diálogo asertivo con la </w:t>
            </w:r>
            <w:r>
              <w:rPr>
                <w:color w:val="FF0000"/>
                <w:sz w:val="22"/>
                <w:szCs w:val="22"/>
              </w:rPr>
              <w:t>presunta</w:t>
            </w:r>
            <w:r>
              <w:rPr>
                <w:sz w:val="22"/>
                <w:szCs w:val="22"/>
              </w:rPr>
              <w:t xml:space="preserve"> víctima: Quién cree que lo puede estar amenazando, porqué cree que lo amenazan, qué actividad podría estar poniendo en riesgo sus derechos a la vida, libertad, integridad o seguridad.</w:t>
            </w:r>
          </w:p>
          <w:p w:rsidR="00150B59" w:rsidRDefault="00666799">
            <w:pPr>
              <w:numPr>
                <w:ilvl w:val="0"/>
                <w:numId w:val="2"/>
              </w:numPr>
              <w:pBdr>
                <w:top w:val="nil"/>
                <w:left w:val="nil"/>
                <w:bottom w:val="nil"/>
                <w:right w:val="nil"/>
                <w:between w:val="nil"/>
              </w:pBdr>
              <w:spacing w:before="1"/>
              <w:ind w:left="821" w:right="495"/>
              <w:jc w:val="both"/>
              <w:rPr>
                <w:sz w:val="22"/>
                <w:szCs w:val="22"/>
              </w:rPr>
            </w:pPr>
            <w:r>
              <w:rPr>
                <w:sz w:val="22"/>
                <w:szCs w:val="22"/>
              </w:rPr>
              <w:t xml:space="preserve">Activar ruta en caso que la víctima no se tipifique como delito de extorsión y se trata de un engaño por parte de grupos no organizados o personas que aprovechan el </w:t>
            </w:r>
            <w:r>
              <w:rPr>
                <w:sz w:val="22"/>
                <w:szCs w:val="22"/>
              </w:rPr>
              <w:lastRenderedPageBreak/>
              <w:t>terrorismo causado por las bandas organizadas.</w:t>
            </w:r>
          </w:p>
          <w:p w:rsidR="00150B59" w:rsidRDefault="00150B59">
            <w:pPr>
              <w:jc w:val="both"/>
              <w:rPr>
                <w:b/>
                <w:sz w:val="22"/>
                <w:szCs w:val="22"/>
              </w:rPr>
            </w:pPr>
          </w:p>
        </w:tc>
      </w:tr>
      <w:tr w:rsidR="00150B59">
        <w:tc>
          <w:tcPr>
            <w:tcW w:w="4560" w:type="dxa"/>
          </w:tcPr>
          <w:p w:rsidR="00150B59" w:rsidRDefault="00666799">
            <w:pPr>
              <w:pBdr>
                <w:top w:val="nil"/>
                <w:left w:val="nil"/>
                <w:bottom w:val="nil"/>
                <w:right w:val="nil"/>
                <w:between w:val="nil"/>
              </w:pBdr>
              <w:ind w:left="102" w:right="499"/>
              <w:jc w:val="both"/>
              <w:rPr>
                <w:rFonts w:ascii="Times New Roman" w:eastAsia="Times New Roman" w:hAnsi="Times New Roman" w:cs="Times New Roman"/>
              </w:rPr>
            </w:pPr>
            <w:r>
              <w:rPr>
                <w:b/>
                <w:sz w:val="22"/>
                <w:szCs w:val="22"/>
              </w:rPr>
              <w:lastRenderedPageBreak/>
              <w:t xml:space="preserve">Artículo 3. Atención Integral: </w:t>
            </w:r>
            <w:r>
              <w:rPr>
                <w:sz w:val="22"/>
                <w:szCs w:val="22"/>
              </w:rPr>
              <w:t>La Secretaría Distrital de Seguridad, Convivencia y Justicia o quien haga sus veces, a través de los equipos de Asistencia Integral a la Denuncia (AIDE), garantizará la atención en modalidad presencial. Así mismo, se activará la Ruta de Atención Psicosocial y Jurídica en los casos que se requiera.</w:t>
            </w:r>
          </w:p>
        </w:tc>
        <w:tc>
          <w:tcPr>
            <w:tcW w:w="4365" w:type="dxa"/>
          </w:tcPr>
          <w:p w:rsidR="00150B59" w:rsidRDefault="00150B59">
            <w:pPr>
              <w:pBdr>
                <w:top w:val="nil"/>
                <w:left w:val="nil"/>
                <w:bottom w:val="nil"/>
                <w:right w:val="nil"/>
                <w:between w:val="nil"/>
              </w:pBdr>
              <w:ind w:left="102" w:right="499"/>
              <w:jc w:val="center"/>
              <w:rPr>
                <w:b/>
                <w:sz w:val="22"/>
                <w:szCs w:val="22"/>
              </w:rPr>
            </w:pPr>
          </w:p>
          <w:p w:rsidR="00150B59" w:rsidRDefault="00150B59">
            <w:pPr>
              <w:pBdr>
                <w:top w:val="nil"/>
                <w:left w:val="nil"/>
                <w:bottom w:val="nil"/>
                <w:right w:val="nil"/>
                <w:between w:val="nil"/>
              </w:pBdr>
              <w:ind w:left="102" w:right="499"/>
              <w:jc w:val="center"/>
              <w:rPr>
                <w:b/>
                <w:sz w:val="22"/>
                <w:szCs w:val="22"/>
              </w:rPr>
            </w:pPr>
          </w:p>
          <w:p w:rsidR="00150B59" w:rsidRDefault="00666799">
            <w:pPr>
              <w:pBdr>
                <w:top w:val="nil"/>
                <w:left w:val="nil"/>
                <w:bottom w:val="nil"/>
                <w:right w:val="nil"/>
                <w:between w:val="nil"/>
              </w:pBdr>
              <w:ind w:left="102" w:right="499"/>
              <w:jc w:val="center"/>
              <w:rPr>
                <w:rFonts w:ascii="Times New Roman" w:eastAsia="Times New Roman" w:hAnsi="Times New Roman" w:cs="Times New Roman"/>
              </w:rPr>
            </w:pPr>
            <w:r>
              <w:rPr>
                <w:b/>
                <w:sz w:val="22"/>
                <w:szCs w:val="22"/>
              </w:rPr>
              <w:t>QUEDA IGUAL</w:t>
            </w:r>
          </w:p>
        </w:tc>
      </w:tr>
      <w:tr w:rsidR="00150B59">
        <w:tc>
          <w:tcPr>
            <w:tcW w:w="4560" w:type="dxa"/>
          </w:tcPr>
          <w:p w:rsidR="00150B59" w:rsidRDefault="00666799">
            <w:pPr>
              <w:pBdr>
                <w:top w:val="nil"/>
                <w:left w:val="nil"/>
                <w:bottom w:val="nil"/>
                <w:right w:val="nil"/>
                <w:between w:val="nil"/>
              </w:pBdr>
              <w:ind w:left="102" w:right="497"/>
              <w:jc w:val="both"/>
              <w:rPr>
                <w:rFonts w:ascii="Times New Roman" w:eastAsia="Times New Roman" w:hAnsi="Times New Roman" w:cs="Times New Roman"/>
              </w:rPr>
            </w:pPr>
            <w:r>
              <w:rPr>
                <w:b/>
                <w:sz w:val="22"/>
                <w:szCs w:val="22"/>
              </w:rPr>
              <w:t xml:space="preserve">Artículo 4. Medidas transitorias. </w:t>
            </w:r>
            <w:r>
              <w:rPr>
                <w:sz w:val="22"/>
                <w:szCs w:val="22"/>
              </w:rPr>
              <w:t>Se crearán medidas transitorias que disminuyan y mitiguen el riesgo. Las cuales incluirán: I) recepción de la denuncia, II) análisis del riesgo de la víctima y su familia, para la garantía del derecho a la vida, seguridad, salud, patrimonio económico, libertad e integridad. III) Acompañamiento policivo (rondas por las tiendas y/o comercios afectados).</w:t>
            </w:r>
          </w:p>
          <w:p w:rsidR="00150B59" w:rsidRDefault="00150B59">
            <w:pPr>
              <w:pBdr>
                <w:top w:val="nil"/>
                <w:left w:val="nil"/>
                <w:bottom w:val="nil"/>
                <w:right w:val="nil"/>
                <w:between w:val="nil"/>
              </w:pBdr>
              <w:ind w:left="102" w:right="499"/>
              <w:jc w:val="both"/>
              <w:rPr>
                <w:b/>
                <w:sz w:val="22"/>
                <w:szCs w:val="22"/>
              </w:rPr>
            </w:pPr>
          </w:p>
        </w:tc>
        <w:tc>
          <w:tcPr>
            <w:tcW w:w="4365" w:type="dxa"/>
          </w:tcPr>
          <w:p w:rsidR="00150B59" w:rsidRDefault="00666799">
            <w:pPr>
              <w:pBdr>
                <w:top w:val="nil"/>
                <w:left w:val="nil"/>
                <w:bottom w:val="nil"/>
                <w:right w:val="nil"/>
                <w:between w:val="nil"/>
              </w:pBdr>
              <w:ind w:left="102" w:right="497"/>
              <w:jc w:val="both"/>
              <w:rPr>
                <w:rFonts w:ascii="Times New Roman" w:eastAsia="Times New Roman" w:hAnsi="Times New Roman" w:cs="Times New Roman"/>
              </w:rPr>
            </w:pPr>
            <w:r>
              <w:rPr>
                <w:b/>
                <w:sz w:val="22"/>
                <w:szCs w:val="22"/>
              </w:rPr>
              <w:t xml:space="preserve">Artículo 4. Medidas transitorias. </w:t>
            </w:r>
            <w:r>
              <w:rPr>
                <w:sz w:val="22"/>
                <w:szCs w:val="22"/>
              </w:rPr>
              <w:t xml:space="preserve">Se crearán medidas transitorias que disminuyan y mitiguen el riesgo. Las cuales incluirán: I) recepción de la denuncia, II) análisis del riesgo de la víctima y su familia, para la garantía del derecho a la vida, seguridad, salud, patrimonio económico, libertad e integridad. III) Acompañamiento policivo (rondas </w:t>
            </w:r>
            <w:r>
              <w:rPr>
                <w:color w:val="FF0000"/>
                <w:sz w:val="22"/>
                <w:szCs w:val="22"/>
              </w:rPr>
              <w:t>por el sector en donde se ubique la víctima</w:t>
            </w:r>
            <w:r>
              <w:rPr>
                <w:sz w:val="22"/>
                <w:szCs w:val="22"/>
              </w:rPr>
              <w:t>, por las tiendas y/o comercios afectados).</w:t>
            </w:r>
          </w:p>
          <w:p w:rsidR="00150B59" w:rsidRDefault="00150B59">
            <w:pPr>
              <w:pBdr>
                <w:top w:val="nil"/>
                <w:left w:val="nil"/>
                <w:bottom w:val="nil"/>
                <w:right w:val="nil"/>
                <w:between w:val="nil"/>
              </w:pBdr>
              <w:ind w:left="102" w:right="499"/>
              <w:jc w:val="both"/>
              <w:rPr>
                <w:b/>
                <w:sz w:val="22"/>
                <w:szCs w:val="22"/>
              </w:rPr>
            </w:pPr>
          </w:p>
        </w:tc>
      </w:tr>
      <w:tr w:rsidR="00150B59">
        <w:tc>
          <w:tcPr>
            <w:tcW w:w="4560" w:type="dxa"/>
          </w:tcPr>
          <w:p w:rsidR="00150B59" w:rsidRDefault="00666799">
            <w:pPr>
              <w:pBdr>
                <w:top w:val="nil"/>
                <w:left w:val="nil"/>
                <w:bottom w:val="nil"/>
                <w:right w:val="nil"/>
                <w:between w:val="nil"/>
              </w:pBdr>
              <w:ind w:left="102" w:right="500"/>
              <w:jc w:val="both"/>
              <w:rPr>
                <w:rFonts w:ascii="Times New Roman" w:eastAsia="Times New Roman" w:hAnsi="Times New Roman" w:cs="Times New Roman"/>
              </w:rPr>
            </w:pPr>
            <w:r>
              <w:rPr>
                <w:b/>
                <w:sz w:val="22"/>
                <w:szCs w:val="22"/>
              </w:rPr>
              <w:t>Artículo 5. Remisión</w:t>
            </w:r>
            <w:r>
              <w:rPr>
                <w:sz w:val="22"/>
                <w:szCs w:val="22"/>
              </w:rPr>
              <w:t>: se orientará a la víctima para la investigación criminal, por parte de la entidad competente: Fiscalía General de la Nación, Dirección de Investigación Criminal (DIJIN) e Interpol, la Seccional de Investigación Criminal (SIJIN), el Gaula de la Policía Nacional. Además, si es necesario se remitirá a la Unidad Nacional de Protección. Para lo anterior deben crear Plan de Contingencia.</w:t>
            </w:r>
          </w:p>
          <w:p w:rsidR="00150B59" w:rsidRDefault="00150B59">
            <w:pPr>
              <w:spacing w:line="276" w:lineRule="auto"/>
              <w:rPr>
                <w:b/>
                <w:sz w:val="22"/>
                <w:szCs w:val="22"/>
              </w:rPr>
            </w:pPr>
          </w:p>
        </w:tc>
        <w:tc>
          <w:tcPr>
            <w:tcW w:w="4365" w:type="dxa"/>
          </w:tcPr>
          <w:p w:rsidR="00150B59" w:rsidRDefault="00150B59">
            <w:pPr>
              <w:pBdr>
                <w:top w:val="nil"/>
                <w:left w:val="nil"/>
                <w:bottom w:val="nil"/>
                <w:right w:val="nil"/>
                <w:between w:val="nil"/>
              </w:pBdr>
              <w:ind w:left="102" w:right="500"/>
              <w:jc w:val="center"/>
              <w:rPr>
                <w:b/>
                <w:sz w:val="22"/>
                <w:szCs w:val="22"/>
              </w:rPr>
            </w:pPr>
          </w:p>
          <w:p w:rsidR="00150B59" w:rsidRDefault="00150B59">
            <w:pPr>
              <w:pBdr>
                <w:top w:val="nil"/>
                <w:left w:val="nil"/>
                <w:bottom w:val="nil"/>
                <w:right w:val="nil"/>
                <w:between w:val="nil"/>
              </w:pBdr>
              <w:ind w:left="102" w:right="500"/>
              <w:jc w:val="center"/>
              <w:rPr>
                <w:b/>
                <w:sz w:val="22"/>
                <w:szCs w:val="22"/>
              </w:rPr>
            </w:pPr>
          </w:p>
          <w:p w:rsidR="00150B59" w:rsidRDefault="00150B59">
            <w:pPr>
              <w:pBdr>
                <w:top w:val="nil"/>
                <w:left w:val="nil"/>
                <w:bottom w:val="nil"/>
                <w:right w:val="nil"/>
                <w:between w:val="nil"/>
              </w:pBdr>
              <w:ind w:left="102" w:right="500"/>
              <w:jc w:val="center"/>
              <w:rPr>
                <w:b/>
                <w:sz w:val="22"/>
                <w:szCs w:val="22"/>
              </w:rPr>
            </w:pPr>
          </w:p>
          <w:p w:rsidR="00150B59" w:rsidRDefault="00150B59">
            <w:pPr>
              <w:pBdr>
                <w:top w:val="nil"/>
                <w:left w:val="nil"/>
                <w:bottom w:val="nil"/>
                <w:right w:val="nil"/>
                <w:between w:val="nil"/>
              </w:pBdr>
              <w:ind w:left="102" w:right="500"/>
              <w:jc w:val="center"/>
              <w:rPr>
                <w:b/>
                <w:sz w:val="22"/>
                <w:szCs w:val="22"/>
              </w:rPr>
            </w:pPr>
          </w:p>
          <w:p w:rsidR="00150B59" w:rsidRDefault="00150B59">
            <w:pPr>
              <w:pBdr>
                <w:top w:val="nil"/>
                <w:left w:val="nil"/>
                <w:bottom w:val="nil"/>
                <w:right w:val="nil"/>
                <w:between w:val="nil"/>
              </w:pBdr>
              <w:ind w:left="102" w:right="500"/>
              <w:jc w:val="center"/>
              <w:rPr>
                <w:b/>
                <w:sz w:val="22"/>
                <w:szCs w:val="22"/>
              </w:rPr>
            </w:pPr>
          </w:p>
          <w:p w:rsidR="00150B59" w:rsidRDefault="00666799">
            <w:pPr>
              <w:pBdr>
                <w:top w:val="nil"/>
                <w:left w:val="nil"/>
                <w:bottom w:val="nil"/>
                <w:right w:val="nil"/>
                <w:between w:val="nil"/>
              </w:pBdr>
              <w:ind w:left="102" w:right="500"/>
              <w:jc w:val="center"/>
              <w:rPr>
                <w:rFonts w:ascii="Times New Roman" w:eastAsia="Times New Roman" w:hAnsi="Times New Roman" w:cs="Times New Roman"/>
              </w:rPr>
            </w:pPr>
            <w:r>
              <w:rPr>
                <w:b/>
                <w:sz w:val="22"/>
                <w:szCs w:val="22"/>
              </w:rPr>
              <w:t>QUEDA IGUAL</w:t>
            </w:r>
          </w:p>
          <w:p w:rsidR="00150B59" w:rsidRDefault="00150B59">
            <w:pPr>
              <w:jc w:val="both"/>
              <w:rPr>
                <w:b/>
                <w:sz w:val="22"/>
                <w:szCs w:val="22"/>
              </w:rPr>
            </w:pPr>
          </w:p>
        </w:tc>
      </w:tr>
      <w:tr w:rsidR="00150B59">
        <w:tc>
          <w:tcPr>
            <w:tcW w:w="4560" w:type="dxa"/>
          </w:tcPr>
          <w:p w:rsidR="00150B59" w:rsidRDefault="00666799">
            <w:pPr>
              <w:pBdr>
                <w:top w:val="nil"/>
                <w:left w:val="nil"/>
                <w:bottom w:val="nil"/>
                <w:right w:val="nil"/>
                <w:between w:val="nil"/>
              </w:pBdr>
              <w:ind w:left="102" w:right="495"/>
              <w:jc w:val="both"/>
              <w:rPr>
                <w:rFonts w:ascii="Times New Roman" w:eastAsia="Times New Roman" w:hAnsi="Times New Roman" w:cs="Times New Roman"/>
              </w:rPr>
            </w:pPr>
            <w:r>
              <w:rPr>
                <w:b/>
                <w:sz w:val="22"/>
                <w:szCs w:val="22"/>
              </w:rPr>
              <w:t xml:space="preserve">Artículo 6. Campañas de pedagogía en prevención: </w:t>
            </w:r>
            <w:r>
              <w:rPr>
                <w:sz w:val="22"/>
                <w:szCs w:val="22"/>
              </w:rPr>
              <w:t xml:space="preserve">estas campañas serán herramientas frente a la ruta de </w:t>
            </w:r>
            <w:r>
              <w:rPr>
                <w:sz w:val="22"/>
                <w:szCs w:val="22"/>
              </w:rPr>
              <w:lastRenderedPageBreak/>
              <w:t>la denuncia, la prevención y la sensibilización. La difusión y divulgación preventiva se realizará en diversos canales y medios de comunicación, así como en instancias representativas y consultivas, instituciones particulares e instituciones públicas o privadas y colegios tanto públicos y privados.</w:t>
            </w:r>
          </w:p>
          <w:p w:rsidR="00150B59" w:rsidRDefault="00150B59"/>
          <w:p w:rsidR="00150B59" w:rsidRDefault="00666799">
            <w:pPr>
              <w:pBdr>
                <w:top w:val="nil"/>
                <w:left w:val="nil"/>
                <w:bottom w:val="nil"/>
                <w:right w:val="nil"/>
                <w:between w:val="nil"/>
              </w:pBdr>
              <w:ind w:left="102" w:right="498"/>
              <w:jc w:val="both"/>
              <w:rPr>
                <w:rFonts w:ascii="Times New Roman" w:eastAsia="Times New Roman" w:hAnsi="Times New Roman" w:cs="Times New Roman"/>
              </w:rPr>
            </w:pPr>
            <w:r>
              <w:rPr>
                <w:b/>
                <w:sz w:val="22"/>
                <w:szCs w:val="22"/>
              </w:rPr>
              <w:t xml:space="preserve">Parágrafo: </w:t>
            </w:r>
            <w:r>
              <w:rPr>
                <w:sz w:val="22"/>
                <w:szCs w:val="22"/>
              </w:rPr>
              <w:t>En el término de 4 meses después de sancionado y publicado el presente acuerdo, deberá elaborarse un ABC donde se indique a las posibles víctimas el modo de actuar frente a llamadas o contacto del victimario, el cual deberá contener lo siguiente:</w:t>
            </w:r>
          </w:p>
          <w:p w:rsidR="00150B59" w:rsidRDefault="00150B59"/>
          <w:p w:rsidR="00150B59" w:rsidRDefault="00F72605">
            <w:pPr>
              <w:pBdr>
                <w:top w:val="nil"/>
                <w:left w:val="nil"/>
                <w:bottom w:val="nil"/>
                <w:right w:val="nil"/>
                <w:between w:val="nil"/>
              </w:pBdr>
              <w:spacing w:before="1"/>
              <w:rPr>
                <w:rFonts w:ascii="Times New Roman" w:eastAsia="Times New Roman" w:hAnsi="Times New Roman" w:cs="Times New Roman"/>
              </w:rPr>
            </w:pPr>
            <w:sdt>
              <w:sdtPr>
                <w:tag w:val="goog_rdk_0"/>
                <w:id w:val="1296489741"/>
              </w:sdtPr>
              <w:sdtEndPr/>
              <w:sdtContent>
                <w:r w:rsidR="00666799">
                  <w:rPr>
                    <w:rFonts w:ascii="Arial Unicode MS" w:eastAsia="Arial Unicode MS" w:hAnsi="Arial Unicode MS" w:cs="Arial Unicode MS"/>
                    <w:sz w:val="22"/>
                    <w:szCs w:val="22"/>
                  </w:rPr>
                  <w:t>★</w:t>
                </w:r>
              </w:sdtContent>
            </w:sdt>
            <w:r w:rsidR="00666799">
              <w:rPr>
                <w:sz w:val="22"/>
                <w:szCs w:val="22"/>
              </w:rPr>
              <w:t xml:space="preserve"> Manténgase en calma y no dé ningún tipo de información, no interactúe con el victimario.</w:t>
            </w:r>
          </w:p>
          <w:p w:rsidR="00150B59" w:rsidRDefault="00F72605">
            <w:pPr>
              <w:pBdr>
                <w:top w:val="nil"/>
                <w:left w:val="nil"/>
                <w:bottom w:val="nil"/>
                <w:right w:val="nil"/>
                <w:between w:val="nil"/>
              </w:pBdr>
              <w:spacing w:before="5"/>
              <w:ind w:right="499"/>
              <w:rPr>
                <w:rFonts w:ascii="Times New Roman" w:eastAsia="Times New Roman" w:hAnsi="Times New Roman" w:cs="Times New Roman"/>
              </w:rPr>
            </w:pPr>
            <w:sdt>
              <w:sdtPr>
                <w:tag w:val="goog_rdk_1"/>
                <w:id w:val="-1741012459"/>
              </w:sdtPr>
              <w:sdtEndPr/>
              <w:sdtContent>
                <w:r w:rsidR="00666799">
                  <w:rPr>
                    <w:rFonts w:ascii="Arial Unicode MS" w:eastAsia="Arial Unicode MS" w:hAnsi="Arial Unicode MS" w:cs="Arial Unicode MS"/>
                    <w:sz w:val="22"/>
                    <w:szCs w:val="22"/>
                  </w:rPr>
                  <w:t>★</w:t>
                </w:r>
              </w:sdtContent>
            </w:sdt>
            <w:r w:rsidR="00666799">
              <w:rPr>
                <w:sz w:val="22"/>
                <w:szCs w:val="22"/>
              </w:rPr>
              <w:t xml:space="preserve"> Intente escribir los detalles de la situación tales como fecha, lugar, número de teléfono del cual le están llamando o descripción del medio por el cual realizaron la</w:t>
            </w:r>
            <w:r w:rsidR="00666799">
              <w:rPr>
                <w:rFonts w:ascii="Times New Roman" w:eastAsia="Times New Roman" w:hAnsi="Times New Roman" w:cs="Times New Roman"/>
              </w:rPr>
              <w:t xml:space="preserve"> </w:t>
            </w:r>
            <w:r w:rsidR="00666799">
              <w:rPr>
                <w:sz w:val="22"/>
                <w:szCs w:val="22"/>
              </w:rPr>
              <w:t>extorsión y la petición realizada.</w:t>
            </w:r>
          </w:p>
          <w:p w:rsidR="00150B59" w:rsidRDefault="00F72605">
            <w:pPr>
              <w:pBdr>
                <w:top w:val="nil"/>
                <w:left w:val="nil"/>
                <w:bottom w:val="nil"/>
                <w:right w:val="nil"/>
                <w:between w:val="nil"/>
              </w:pBdr>
              <w:rPr>
                <w:rFonts w:ascii="Times New Roman" w:eastAsia="Times New Roman" w:hAnsi="Times New Roman" w:cs="Times New Roman"/>
              </w:rPr>
            </w:pPr>
            <w:sdt>
              <w:sdtPr>
                <w:tag w:val="goog_rdk_2"/>
                <w:id w:val="1854225553"/>
              </w:sdtPr>
              <w:sdtEndPr/>
              <w:sdtContent>
                <w:r w:rsidR="00666799">
                  <w:rPr>
                    <w:rFonts w:ascii="Arial Unicode MS" w:eastAsia="Arial Unicode MS" w:hAnsi="Arial Unicode MS" w:cs="Arial Unicode MS"/>
                    <w:sz w:val="22"/>
                    <w:szCs w:val="22"/>
                  </w:rPr>
                  <w:t>★</w:t>
                </w:r>
              </w:sdtContent>
            </w:sdt>
            <w:r w:rsidR="00666799">
              <w:rPr>
                <w:sz w:val="22"/>
                <w:szCs w:val="22"/>
              </w:rPr>
              <w:t xml:space="preserve"> Comuníquese con sus familiares y verifique si ellos están siendo extorsionados.</w:t>
            </w:r>
          </w:p>
          <w:p w:rsidR="00150B59" w:rsidRDefault="00F72605">
            <w:pPr>
              <w:pBdr>
                <w:top w:val="nil"/>
                <w:left w:val="nil"/>
                <w:bottom w:val="nil"/>
                <w:right w:val="nil"/>
                <w:between w:val="nil"/>
              </w:pBdr>
              <w:ind w:right="495"/>
              <w:rPr>
                <w:rFonts w:ascii="Times New Roman" w:eastAsia="Times New Roman" w:hAnsi="Times New Roman" w:cs="Times New Roman"/>
              </w:rPr>
            </w:pPr>
            <w:sdt>
              <w:sdtPr>
                <w:tag w:val="goog_rdk_3"/>
                <w:id w:val="-630390664"/>
              </w:sdtPr>
              <w:sdtEndPr/>
              <w:sdtContent>
                <w:r w:rsidR="00666799">
                  <w:rPr>
                    <w:rFonts w:ascii="Arial Unicode MS" w:eastAsia="Arial Unicode MS" w:hAnsi="Arial Unicode MS" w:cs="Arial Unicode MS"/>
                    <w:sz w:val="22"/>
                    <w:szCs w:val="22"/>
                  </w:rPr>
                  <w:t>★</w:t>
                </w:r>
              </w:sdtContent>
            </w:sdt>
            <w:r w:rsidR="00666799">
              <w:rPr>
                <w:sz w:val="22"/>
                <w:szCs w:val="22"/>
              </w:rPr>
              <w:t xml:space="preserve"> Comuníquese de inmediato con el equipo interdisciplinario de Asistencia Integral a la Denuncia (AIDE) a la línea (601) 3779595, ext. 1137.</w:t>
            </w:r>
          </w:p>
          <w:p w:rsidR="00150B59" w:rsidRDefault="00F72605">
            <w:pPr>
              <w:pBdr>
                <w:top w:val="nil"/>
                <w:left w:val="nil"/>
                <w:bottom w:val="nil"/>
                <w:right w:val="nil"/>
                <w:between w:val="nil"/>
              </w:pBdr>
              <w:ind w:right="495"/>
              <w:rPr>
                <w:rFonts w:ascii="Times New Roman" w:eastAsia="Times New Roman" w:hAnsi="Times New Roman" w:cs="Times New Roman"/>
              </w:rPr>
            </w:pPr>
            <w:sdt>
              <w:sdtPr>
                <w:tag w:val="goog_rdk_4"/>
                <w:id w:val="1263182953"/>
              </w:sdtPr>
              <w:sdtEndPr/>
              <w:sdtContent>
                <w:r w:rsidR="00666799">
                  <w:rPr>
                    <w:rFonts w:ascii="Arial Unicode MS" w:eastAsia="Arial Unicode MS" w:hAnsi="Arial Unicode MS" w:cs="Arial Unicode MS"/>
                    <w:sz w:val="22"/>
                    <w:szCs w:val="22"/>
                  </w:rPr>
                  <w:t>★</w:t>
                </w:r>
              </w:sdtContent>
            </w:sdt>
            <w:r w:rsidR="00666799">
              <w:rPr>
                <w:sz w:val="22"/>
                <w:szCs w:val="22"/>
              </w:rPr>
              <w:t xml:space="preserve"> Asegúrese que el equipo AIDE, lo remita en calidad de víctima a los entes responsables para seguir la ruta.</w:t>
            </w:r>
          </w:p>
          <w:p w:rsidR="00150B59" w:rsidRDefault="00F72605">
            <w:pPr>
              <w:pBdr>
                <w:top w:val="nil"/>
                <w:left w:val="nil"/>
                <w:bottom w:val="nil"/>
                <w:right w:val="nil"/>
                <w:between w:val="nil"/>
              </w:pBdr>
              <w:rPr>
                <w:rFonts w:ascii="Times New Roman" w:eastAsia="Times New Roman" w:hAnsi="Times New Roman" w:cs="Times New Roman"/>
              </w:rPr>
            </w:pPr>
            <w:sdt>
              <w:sdtPr>
                <w:tag w:val="goog_rdk_5"/>
                <w:id w:val="-1138256808"/>
              </w:sdtPr>
              <w:sdtEndPr/>
              <w:sdtContent>
                <w:r w:rsidR="00666799">
                  <w:rPr>
                    <w:rFonts w:ascii="Arial Unicode MS" w:eastAsia="Arial Unicode MS" w:hAnsi="Arial Unicode MS" w:cs="Arial Unicode MS"/>
                    <w:sz w:val="22"/>
                    <w:szCs w:val="22"/>
                  </w:rPr>
                  <w:t>★</w:t>
                </w:r>
              </w:sdtContent>
            </w:sdt>
            <w:r w:rsidR="00666799">
              <w:rPr>
                <w:sz w:val="22"/>
                <w:szCs w:val="22"/>
              </w:rPr>
              <w:t xml:space="preserve"> Se recomienda que NO intente manejar las situaciones de manera aislada, solicite</w:t>
            </w:r>
          </w:p>
          <w:p w:rsidR="00150B59" w:rsidRDefault="00666799">
            <w:pPr>
              <w:pBdr>
                <w:top w:val="nil"/>
                <w:left w:val="nil"/>
                <w:bottom w:val="nil"/>
                <w:right w:val="nil"/>
                <w:between w:val="nil"/>
              </w:pBdr>
              <w:ind w:right="500"/>
              <w:rPr>
                <w:rFonts w:ascii="Times New Roman" w:eastAsia="Times New Roman" w:hAnsi="Times New Roman" w:cs="Times New Roman"/>
              </w:rPr>
            </w:pPr>
            <w:r>
              <w:rPr>
                <w:sz w:val="22"/>
                <w:szCs w:val="22"/>
              </w:rPr>
              <w:t xml:space="preserve">de manera urgente a las entidades competentes la apertura de la </w:t>
            </w:r>
            <w:r>
              <w:rPr>
                <w:sz w:val="22"/>
                <w:szCs w:val="22"/>
              </w:rPr>
              <w:lastRenderedPageBreak/>
              <w:t>investigación y la implementación de medidas de seguridad.</w:t>
            </w:r>
          </w:p>
          <w:p w:rsidR="00150B59" w:rsidRDefault="00F72605">
            <w:pPr>
              <w:pBdr>
                <w:top w:val="nil"/>
                <w:left w:val="nil"/>
                <w:bottom w:val="nil"/>
                <w:right w:val="nil"/>
                <w:between w:val="nil"/>
              </w:pBdr>
              <w:jc w:val="both"/>
              <w:rPr>
                <w:rFonts w:ascii="Times New Roman" w:eastAsia="Times New Roman" w:hAnsi="Times New Roman" w:cs="Times New Roman"/>
              </w:rPr>
            </w:pPr>
            <w:sdt>
              <w:sdtPr>
                <w:tag w:val="goog_rdk_6"/>
                <w:id w:val="1592282986"/>
              </w:sdtPr>
              <w:sdtEndPr/>
              <w:sdtContent>
                <w:r w:rsidR="00666799">
                  <w:rPr>
                    <w:rFonts w:ascii="Arial Unicode MS" w:eastAsia="Arial Unicode MS" w:hAnsi="Arial Unicode MS" w:cs="Arial Unicode MS"/>
                    <w:sz w:val="22"/>
                    <w:szCs w:val="22"/>
                  </w:rPr>
                  <w:t>★</w:t>
                </w:r>
              </w:sdtContent>
            </w:sdt>
            <w:r w:rsidR="00666799">
              <w:rPr>
                <w:sz w:val="22"/>
                <w:szCs w:val="22"/>
              </w:rPr>
              <w:t xml:space="preserve"> Construya un protocolo individual y familiar para la protección, para ello, contemple</w:t>
            </w:r>
          </w:p>
          <w:p w:rsidR="00150B59" w:rsidRDefault="00666799">
            <w:pPr>
              <w:pBdr>
                <w:top w:val="nil"/>
                <w:left w:val="nil"/>
                <w:bottom w:val="nil"/>
                <w:right w:val="nil"/>
                <w:between w:val="nil"/>
              </w:pBdr>
              <w:ind w:right="496"/>
              <w:jc w:val="both"/>
              <w:rPr>
                <w:rFonts w:ascii="Times New Roman" w:eastAsia="Times New Roman" w:hAnsi="Times New Roman" w:cs="Times New Roman"/>
              </w:rPr>
            </w:pPr>
            <w:r>
              <w:rPr>
                <w:sz w:val="22"/>
                <w:szCs w:val="22"/>
              </w:rPr>
              <w:t>medidas de autoprotección como cambios en las rutinas diarias de horarios de sus traslados al trabajo y lugar de residencia, cambio de su línea telefónica para no ser contactado, permanezca en contacto con su familia y comparta información sobre sus desplazamientos, asegúrese de tener compañía.</w:t>
            </w:r>
          </w:p>
        </w:tc>
        <w:tc>
          <w:tcPr>
            <w:tcW w:w="4365" w:type="dxa"/>
          </w:tcPr>
          <w:p w:rsidR="00150B59" w:rsidRDefault="00666799">
            <w:pPr>
              <w:pBdr>
                <w:top w:val="nil"/>
                <w:left w:val="nil"/>
                <w:bottom w:val="nil"/>
                <w:right w:val="nil"/>
                <w:between w:val="nil"/>
              </w:pBdr>
              <w:ind w:left="102" w:right="495"/>
              <w:jc w:val="both"/>
              <w:rPr>
                <w:rFonts w:ascii="Times New Roman" w:eastAsia="Times New Roman" w:hAnsi="Times New Roman" w:cs="Times New Roman"/>
                <w:color w:val="FF0000"/>
              </w:rPr>
            </w:pPr>
            <w:r>
              <w:rPr>
                <w:b/>
                <w:sz w:val="22"/>
                <w:szCs w:val="22"/>
              </w:rPr>
              <w:lastRenderedPageBreak/>
              <w:t xml:space="preserve">Artículo 6. Campañas de pedagogía en prevención: </w:t>
            </w:r>
            <w:r>
              <w:rPr>
                <w:sz w:val="22"/>
                <w:szCs w:val="22"/>
              </w:rPr>
              <w:t xml:space="preserve">Estas campañas serán herramienta frente </w:t>
            </w:r>
            <w:r>
              <w:rPr>
                <w:sz w:val="22"/>
                <w:szCs w:val="22"/>
              </w:rPr>
              <w:lastRenderedPageBreak/>
              <w:t xml:space="preserve">a la ruta de la denuncia, la prevención y la sensibilización. La difusión y divulgación preventiva se realizará en diversos canales y medios de comunicación, así como en instancias representativas y consultivas, </w:t>
            </w:r>
            <w:r>
              <w:rPr>
                <w:color w:val="FF0000"/>
                <w:sz w:val="22"/>
                <w:szCs w:val="22"/>
              </w:rPr>
              <w:t xml:space="preserve">instituciones públicas, colegios públicos y también se incentivará a los colegios e instituciones privadas a que adopten y realicen de manera periódica estas campañas. </w:t>
            </w:r>
          </w:p>
          <w:p w:rsidR="00150B59" w:rsidRDefault="00150B59"/>
          <w:p w:rsidR="00150B59" w:rsidRDefault="00666799">
            <w:pPr>
              <w:ind w:left="102" w:right="498"/>
              <w:jc w:val="both"/>
              <w:rPr>
                <w:b/>
                <w:color w:val="FF0000"/>
                <w:sz w:val="22"/>
                <w:szCs w:val="22"/>
              </w:rPr>
            </w:pPr>
            <w:r>
              <w:rPr>
                <w:b/>
                <w:sz w:val="22"/>
                <w:szCs w:val="22"/>
              </w:rPr>
              <w:t xml:space="preserve">Parágrafo: </w:t>
            </w:r>
            <w:r>
              <w:rPr>
                <w:sz w:val="22"/>
                <w:szCs w:val="22"/>
              </w:rPr>
              <w:t xml:space="preserve">En el término de 4 meses después de sancionado y publicado el presente acuerdo, deberá elaborarse un ABC donde se indique a las posibles víctimas el modo de actuar frente a llamadas o contacto del victimario, el cual deberá contener  </w:t>
            </w:r>
            <w:r>
              <w:rPr>
                <w:color w:val="FF0000"/>
                <w:sz w:val="22"/>
                <w:szCs w:val="22"/>
              </w:rPr>
              <w:t>como mínimo mensajes de calma, indicaciones sobre a dónde comunicarse en caso de ser víctima, cómo atender la inmediatez del hecho extorsivo y otras.</w:t>
            </w:r>
          </w:p>
        </w:tc>
      </w:tr>
      <w:tr w:rsidR="00150B59">
        <w:tc>
          <w:tcPr>
            <w:tcW w:w="4560" w:type="dxa"/>
          </w:tcPr>
          <w:p w:rsidR="00150B59" w:rsidRDefault="00666799">
            <w:pPr>
              <w:pBdr>
                <w:top w:val="nil"/>
                <w:left w:val="nil"/>
                <w:bottom w:val="nil"/>
                <w:right w:val="nil"/>
                <w:between w:val="nil"/>
              </w:pBdr>
              <w:spacing w:before="203"/>
              <w:ind w:left="102" w:right="494"/>
              <w:jc w:val="both"/>
              <w:rPr>
                <w:rFonts w:ascii="Times New Roman" w:eastAsia="Times New Roman" w:hAnsi="Times New Roman" w:cs="Times New Roman"/>
              </w:rPr>
            </w:pPr>
            <w:r>
              <w:rPr>
                <w:b/>
                <w:sz w:val="22"/>
                <w:szCs w:val="22"/>
              </w:rPr>
              <w:lastRenderedPageBreak/>
              <w:t>Artículo 7. Estrategias de articulación intersectorial y la empresa privada</w:t>
            </w:r>
            <w:r>
              <w:rPr>
                <w:sz w:val="22"/>
                <w:szCs w:val="22"/>
              </w:rPr>
              <w:t>: Buscar alianzas público - privadas, con la sociedad civil y la población en general. Continuar con la Cámara de Comercio ha articulado acciones en la prevención, protección y asistencia el trabajo conjunto y en red de actores gubernamentales con el sector privado.</w:t>
            </w:r>
          </w:p>
          <w:p w:rsidR="00150B59" w:rsidRDefault="00150B59">
            <w:pPr>
              <w:spacing w:line="276" w:lineRule="auto"/>
              <w:rPr>
                <w:b/>
                <w:sz w:val="22"/>
                <w:szCs w:val="22"/>
              </w:rPr>
            </w:pPr>
          </w:p>
        </w:tc>
        <w:tc>
          <w:tcPr>
            <w:tcW w:w="4365" w:type="dxa"/>
          </w:tcPr>
          <w:p w:rsidR="00150B59" w:rsidRDefault="00150B59">
            <w:pPr>
              <w:jc w:val="both"/>
              <w:rPr>
                <w:b/>
                <w:sz w:val="22"/>
                <w:szCs w:val="22"/>
              </w:rPr>
            </w:pPr>
          </w:p>
          <w:p w:rsidR="00150B59" w:rsidRDefault="00150B59">
            <w:pPr>
              <w:jc w:val="center"/>
              <w:rPr>
                <w:b/>
                <w:sz w:val="22"/>
                <w:szCs w:val="22"/>
              </w:rPr>
            </w:pPr>
          </w:p>
          <w:p w:rsidR="00150B59" w:rsidRDefault="00150B59">
            <w:pPr>
              <w:jc w:val="center"/>
              <w:rPr>
                <w:b/>
                <w:sz w:val="22"/>
                <w:szCs w:val="22"/>
              </w:rPr>
            </w:pPr>
          </w:p>
          <w:p w:rsidR="00150B59" w:rsidRDefault="00150B59">
            <w:pPr>
              <w:jc w:val="center"/>
              <w:rPr>
                <w:b/>
                <w:sz w:val="22"/>
                <w:szCs w:val="22"/>
              </w:rPr>
            </w:pPr>
          </w:p>
          <w:p w:rsidR="00150B59" w:rsidRDefault="00666799">
            <w:pPr>
              <w:jc w:val="center"/>
              <w:rPr>
                <w:b/>
                <w:sz w:val="22"/>
                <w:szCs w:val="22"/>
              </w:rPr>
            </w:pPr>
            <w:r>
              <w:rPr>
                <w:b/>
                <w:sz w:val="22"/>
                <w:szCs w:val="22"/>
              </w:rPr>
              <w:t>QUEDA IGUAL</w:t>
            </w:r>
          </w:p>
        </w:tc>
      </w:tr>
      <w:tr w:rsidR="00150B59">
        <w:tc>
          <w:tcPr>
            <w:tcW w:w="4560" w:type="dxa"/>
          </w:tcPr>
          <w:p w:rsidR="00150B59" w:rsidRDefault="00666799">
            <w:pPr>
              <w:spacing w:line="276" w:lineRule="auto"/>
              <w:rPr>
                <w:b/>
                <w:sz w:val="22"/>
                <w:szCs w:val="22"/>
              </w:rPr>
            </w:pPr>
            <w:r>
              <w:rPr>
                <w:b/>
                <w:sz w:val="22"/>
                <w:szCs w:val="22"/>
              </w:rPr>
              <w:t xml:space="preserve">Artículo 8. Cumplimiento del acuerdo: </w:t>
            </w:r>
            <w:r>
              <w:rPr>
                <w:sz w:val="22"/>
                <w:szCs w:val="22"/>
              </w:rPr>
              <w:t>La Secretaría de Seguridad, Convivencia y Justicia o quien haga sus veces, remitirá periódicamente un informe al Concejo de Bogotá evidenciando el avance y cumplimiento de lo ordenado en este proyecto de acuerdo, para hacerle seguimiento a su implementación.</w:t>
            </w:r>
          </w:p>
        </w:tc>
        <w:tc>
          <w:tcPr>
            <w:tcW w:w="4365" w:type="dxa"/>
          </w:tcPr>
          <w:p w:rsidR="00150B59" w:rsidRDefault="00150B59">
            <w:pPr>
              <w:jc w:val="center"/>
              <w:rPr>
                <w:b/>
                <w:sz w:val="22"/>
                <w:szCs w:val="22"/>
              </w:rPr>
            </w:pPr>
          </w:p>
          <w:p w:rsidR="00150B59" w:rsidRDefault="00150B59">
            <w:pPr>
              <w:jc w:val="center"/>
              <w:rPr>
                <w:b/>
                <w:sz w:val="22"/>
                <w:szCs w:val="22"/>
              </w:rPr>
            </w:pPr>
          </w:p>
          <w:p w:rsidR="00150B59" w:rsidRDefault="00150B59">
            <w:pPr>
              <w:jc w:val="center"/>
              <w:rPr>
                <w:b/>
                <w:sz w:val="22"/>
                <w:szCs w:val="22"/>
              </w:rPr>
            </w:pPr>
          </w:p>
          <w:p w:rsidR="00150B59" w:rsidRDefault="00666799">
            <w:pPr>
              <w:jc w:val="center"/>
              <w:rPr>
                <w:b/>
                <w:sz w:val="22"/>
                <w:szCs w:val="22"/>
              </w:rPr>
            </w:pPr>
            <w:r>
              <w:rPr>
                <w:b/>
                <w:sz w:val="22"/>
                <w:szCs w:val="22"/>
              </w:rPr>
              <w:t>QUEDA IGUAL</w:t>
            </w:r>
          </w:p>
        </w:tc>
      </w:tr>
      <w:tr w:rsidR="00150B59">
        <w:tc>
          <w:tcPr>
            <w:tcW w:w="4560" w:type="dxa"/>
          </w:tcPr>
          <w:p w:rsidR="00150B59" w:rsidRDefault="00666799">
            <w:pPr>
              <w:spacing w:before="240" w:after="160"/>
              <w:jc w:val="both"/>
              <w:rPr>
                <w:rFonts w:ascii="Times New Roman" w:eastAsia="Times New Roman" w:hAnsi="Times New Roman" w:cs="Times New Roman"/>
              </w:rPr>
            </w:pPr>
            <w:r>
              <w:rPr>
                <w:b/>
                <w:sz w:val="22"/>
                <w:szCs w:val="22"/>
              </w:rPr>
              <w:t>ARTÍCULO 5. VIGENCIA.</w:t>
            </w:r>
            <w:r>
              <w:rPr>
                <w:sz w:val="22"/>
                <w:szCs w:val="22"/>
              </w:rPr>
              <w:t xml:space="preserve"> El presente Acuerdo rige a partir de la fecha de su publicación.</w:t>
            </w:r>
          </w:p>
        </w:tc>
        <w:tc>
          <w:tcPr>
            <w:tcW w:w="4365" w:type="dxa"/>
          </w:tcPr>
          <w:p w:rsidR="00150B59" w:rsidRDefault="00666799">
            <w:pPr>
              <w:pBdr>
                <w:top w:val="nil"/>
                <w:left w:val="nil"/>
                <w:bottom w:val="nil"/>
                <w:right w:val="nil"/>
                <w:between w:val="nil"/>
              </w:pBdr>
              <w:spacing w:before="240" w:after="160"/>
              <w:jc w:val="center"/>
              <w:rPr>
                <w:b/>
                <w:sz w:val="22"/>
                <w:szCs w:val="22"/>
              </w:rPr>
            </w:pPr>
            <w:r>
              <w:rPr>
                <w:b/>
                <w:sz w:val="22"/>
                <w:szCs w:val="22"/>
              </w:rPr>
              <w:t>QUEDA IGUAL</w:t>
            </w:r>
          </w:p>
        </w:tc>
      </w:tr>
    </w:tbl>
    <w:p w:rsidR="00150B59" w:rsidRDefault="00666799">
      <w:pPr>
        <w:pBdr>
          <w:top w:val="nil"/>
          <w:left w:val="nil"/>
          <w:bottom w:val="nil"/>
          <w:right w:val="nil"/>
          <w:between w:val="nil"/>
        </w:pBdr>
        <w:spacing w:before="240" w:after="240"/>
        <w:jc w:val="center"/>
        <w:rPr>
          <w:b/>
          <w:sz w:val="22"/>
          <w:szCs w:val="22"/>
        </w:rPr>
      </w:pPr>
      <w:r>
        <w:rPr>
          <w:b/>
          <w:sz w:val="22"/>
          <w:szCs w:val="22"/>
        </w:rPr>
        <w:t>PUBLIQUESE Y CUMPLASE.</w:t>
      </w:r>
    </w:p>
    <w:sectPr w:rsidR="00150B59">
      <w:headerReference w:type="default" r:id="rId19"/>
      <w:footerReference w:type="even" r:id="rId20"/>
      <w:footerReference w:type="default" r:id="rId2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799" w:rsidRDefault="00666799">
      <w:r>
        <w:separator/>
      </w:r>
    </w:p>
  </w:endnote>
  <w:endnote w:type="continuationSeparator" w:id="0">
    <w:p w:rsidR="00666799" w:rsidRDefault="0066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B59" w:rsidRDefault="00666799">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150B59" w:rsidRDefault="00150B59">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B59" w:rsidRDefault="00150B59">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799" w:rsidRDefault="00666799">
      <w:r>
        <w:separator/>
      </w:r>
    </w:p>
  </w:footnote>
  <w:footnote w:type="continuationSeparator" w:id="0">
    <w:p w:rsidR="00666799" w:rsidRDefault="00666799">
      <w:r>
        <w:continuationSeparator/>
      </w:r>
    </w:p>
  </w:footnote>
  <w:footnote w:id="1">
    <w:p w:rsidR="00150B59" w:rsidRDefault="00666799">
      <w:pPr>
        <w:pBdr>
          <w:top w:val="nil"/>
          <w:left w:val="nil"/>
          <w:bottom w:val="nil"/>
          <w:right w:val="nil"/>
          <w:between w:val="nil"/>
        </w:pBdr>
        <w:rPr>
          <w:sz w:val="18"/>
          <w:szCs w:val="18"/>
        </w:rPr>
      </w:pPr>
      <w:r>
        <w:rPr>
          <w:vertAlign w:val="superscript"/>
        </w:rPr>
        <w:footnoteRef/>
      </w:r>
      <w:r>
        <w:rPr>
          <w:sz w:val="20"/>
          <w:szCs w:val="20"/>
        </w:rPr>
        <w:t xml:space="preserve"> </w:t>
      </w:r>
      <w:r>
        <w:rPr>
          <w:sz w:val="18"/>
          <w:szCs w:val="18"/>
        </w:rPr>
        <w:t xml:space="preserve">Radiografía de la extorsión - </w:t>
      </w:r>
      <w:hyperlink r:id="rId1">
        <w:r>
          <w:rPr>
            <w:color w:val="0000FF"/>
            <w:sz w:val="18"/>
            <w:szCs w:val="18"/>
            <w:u w:val="single"/>
          </w:rPr>
          <w:t>https://www.pares.com.co/post/radiografia-de-la-extorsion-en-colombia</w:t>
        </w:r>
      </w:hyperlink>
    </w:p>
    <w:p w:rsidR="00150B59" w:rsidRDefault="00150B59">
      <w:pPr>
        <w:pBdr>
          <w:top w:val="nil"/>
          <w:left w:val="nil"/>
          <w:bottom w:val="nil"/>
          <w:right w:val="nil"/>
          <w:between w:val="nil"/>
        </w:pBdr>
        <w:rPr>
          <w:sz w:val="20"/>
          <w:szCs w:val="20"/>
        </w:rPr>
      </w:pPr>
    </w:p>
  </w:footnote>
  <w:footnote w:id="2">
    <w:p w:rsidR="00150B59" w:rsidRDefault="00666799">
      <w:pPr>
        <w:pBdr>
          <w:top w:val="nil"/>
          <w:left w:val="nil"/>
          <w:bottom w:val="nil"/>
          <w:right w:val="nil"/>
          <w:between w:val="nil"/>
        </w:pBdr>
        <w:rPr>
          <w:sz w:val="16"/>
          <w:szCs w:val="16"/>
        </w:rPr>
      </w:pPr>
      <w:r>
        <w:rPr>
          <w:vertAlign w:val="superscript"/>
        </w:rPr>
        <w:footnoteRef/>
      </w:r>
      <w:r>
        <w:rPr>
          <w:sz w:val="18"/>
          <w:szCs w:val="18"/>
        </w:rPr>
        <w:t xml:space="preserve">  </w:t>
      </w:r>
      <w:hyperlink r:id="rId2">
        <w:r>
          <w:rPr>
            <w:color w:val="0000FF"/>
            <w:sz w:val="16"/>
            <w:szCs w:val="16"/>
            <w:u w:val="single"/>
          </w:rPr>
          <w:t>https://bogota.gov.co/mi-ciudad/seguridad/extorsion-en-bogota-estos-son-los-canales-para-denunciar</w:t>
        </w:r>
      </w:hyperlink>
    </w:p>
    <w:p w:rsidR="00150B59" w:rsidRDefault="00150B59">
      <w:pPr>
        <w:pBdr>
          <w:top w:val="nil"/>
          <w:left w:val="nil"/>
          <w:bottom w:val="nil"/>
          <w:right w:val="nil"/>
          <w:between w:val="nil"/>
        </w:pBdr>
        <w:rPr>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B59" w:rsidRDefault="00150B59">
    <w:pPr>
      <w:widowControl w:val="0"/>
      <w:pBdr>
        <w:top w:val="nil"/>
        <w:left w:val="nil"/>
        <w:bottom w:val="nil"/>
        <w:right w:val="nil"/>
        <w:between w:val="nil"/>
      </w:pBdr>
      <w:spacing w:line="276" w:lineRule="auto"/>
      <w:rPr>
        <w:sz w:val="20"/>
        <w:szCs w:val="20"/>
      </w:rPr>
    </w:pPr>
  </w:p>
  <w:tbl>
    <w:tblPr>
      <w:tblStyle w:val="a2"/>
      <w:tblW w:w="8830" w:type="dxa"/>
      <w:tblInd w:w="0" w:type="dxa"/>
      <w:tblLayout w:type="fixed"/>
      <w:tblLook w:val="0000" w:firstRow="0" w:lastRow="0" w:firstColumn="0" w:lastColumn="0" w:noHBand="0" w:noVBand="0"/>
    </w:tblPr>
    <w:tblGrid>
      <w:gridCol w:w="2361"/>
      <w:gridCol w:w="4235"/>
      <w:gridCol w:w="2234"/>
    </w:tblGrid>
    <w:tr w:rsidR="00150B59">
      <w:trPr>
        <w:trHeight w:val="454"/>
      </w:trPr>
      <w:tc>
        <w:tcPr>
          <w:tcW w:w="2361" w:type="dxa"/>
          <w:vMerge w:val="restart"/>
          <w:tcBorders>
            <w:top w:val="single" w:sz="4" w:space="0" w:color="000000"/>
            <w:left w:val="single" w:sz="4" w:space="0" w:color="000000"/>
            <w:right w:val="single" w:sz="4" w:space="0" w:color="000000"/>
          </w:tcBorders>
          <w:vAlign w:val="center"/>
        </w:tcPr>
        <w:p w:rsidR="00150B59" w:rsidRDefault="00150B59">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150B59" w:rsidRDefault="00666799">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150B59" w:rsidRDefault="00666799">
          <w:pPr>
            <w:rPr>
              <w:sz w:val="16"/>
              <w:szCs w:val="16"/>
            </w:rPr>
          </w:pPr>
          <w:r>
            <w:rPr>
              <w:sz w:val="16"/>
              <w:szCs w:val="16"/>
            </w:rPr>
            <w:t>CÓDIGO</w:t>
          </w:r>
          <w:r>
            <w:rPr>
              <w:color w:val="3366FF"/>
              <w:sz w:val="16"/>
              <w:szCs w:val="16"/>
            </w:rPr>
            <w:t xml:space="preserve">: </w:t>
          </w:r>
          <w:r>
            <w:rPr>
              <w:sz w:val="16"/>
              <w:szCs w:val="16"/>
            </w:rPr>
            <w:t>GNV-FO-003</w:t>
          </w:r>
        </w:p>
      </w:tc>
    </w:tr>
    <w:tr w:rsidR="00150B59">
      <w:trPr>
        <w:trHeight w:val="454"/>
      </w:trPr>
      <w:tc>
        <w:tcPr>
          <w:tcW w:w="2361" w:type="dxa"/>
          <w:vMerge/>
          <w:tcBorders>
            <w:top w:val="single" w:sz="4" w:space="0" w:color="000000"/>
            <w:left w:val="single" w:sz="4" w:space="0" w:color="000000"/>
            <w:right w:val="single" w:sz="4" w:space="0" w:color="000000"/>
          </w:tcBorders>
          <w:vAlign w:val="center"/>
        </w:tcPr>
        <w:p w:rsidR="00150B59" w:rsidRDefault="00150B59">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150B59" w:rsidRDefault="00666799">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150B59" w:rsidRDefault="00666799">
          <w:pPr>
            <w:rPr>
              <w:sz w:val="16"/>
              <w:szCs w:val="16"/>
            </w:rPr>
          </w:pPr>
          <w:r>
            <w:rPr>
              <w:sz w:val="16"/>
              <w:szCs w:val="16"/>
            </w:rPr>
            <w:t>VERSIÓN:    01</w:t>
          </w:r>
        </w:p>
      </w:tc>
    </w:tr>
    <w:tr w:rsidR="00150B59">
      <w:trPr>
        <w:trHeight w:val="454"/>
      </w:trPr>
      <w:tc>
        <w:tcPr>
          <w:tcW w:w="2361" w:type="dxa"/>
          <w:vMerge/>
          <w:tcBorders>
            <w:top w:val="single" w:sz="4" w:space="0" w:color="000000"/>
            <w:left w:val="single" w:sz="4" w:space="0" w:color="000000"/>
            <w:right w:val="single" w:sz="4" w:space="0" w:color="000000"/>
          </w:tcBorders>
          <w:vAlign w:val="center"/>
        </w:tcPr>
        <w:p w:rsidR="00150B59" w:rsidRDefault="00150B59">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150B59" w:rsidRDefault="00150B59">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150B59" w:rsidRDefault="00666799">
          <w:pPr>
            <w:rPr>
              <w:sz w:val="16"/>
              <w:szCs w:val="16"/>
            </w:rPr>
          </w:pPr>
          <w:r>
            <w:rPr>
              <w:sz w:val="16"/>
              <w:szCs w:val="16"/>
            </w:rPr>
            <w:t>FECHA: 14-Nov-2019</w:t>
          </w:r>
        </w:p>
      </w:tc>
    </w:tr>
  </w:tbl>
  <w:p w:rsidR="00150B59" w:rsidRDefault="00666799">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-895348</wp:posOffset>
          </wp:positionV>
          <wp:extent cx="752475" cy="885825"/>
          <wp:effectExtent l="0" t="0" r="0" b="0"/>
          <wp:wrapNone/>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F6F03"/>
    <w:multiLevelType w:val="multilevel"/>
    <w:tmpl w:val="3F44A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FFF41EF"/>
    <w:multiLevelType w:val="multilevel"/>
    <w:tmpl w:val="81668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35F1B5F"/>
    <w:multiLevelType w:val="multilevel"/>
    <w:tmpl w:val="83C22A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45C503C"/>
    <w:multiLevelType w:val="multilevel"/>
    <w:tmpl w:val="B8CE2D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E0B6D06"/>
    <w:multiLevelType w:val="multilevel"/>
    <w:tmpl w:val="7938D3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75202A77"/>
    <w:multiLevelType w:val="multilevel"/>
    <w:tmpl w:val="8BF22B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C2B603B"/>
    <w:multiLevelType w:val="multilevel"/>
    <w:tmpl w:val="24AC5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4"/>
  </w:num>
  <w:num w:numId="3">
    <w:abstractNumId w:val="6"/>
  </w:num>
  <w:num w:numId="4">
    <w:abstractNumId w:val="1"/>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B59"/>
    <w:rsid w:val="00150B59"/>
    <w:rsid w:val="00666799"/>
    <w:rsid w:val="0074081B"/>
    <w:rsid w:val="00875779"/>
    <w:rsid w:val="00F726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42FD1C-ACA9-4BE3-982A-4E0BD96FB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character" w:styleId="nfasis">
    <w:name w:val="Emphasis"/>
    <w:basedOn w:val="Fuentedeprrafopredeter"/>
    <w:uiPriority w:val="20"/>
    <w:qFormat/>
    <w:rsid w:val="007C16C2"/>
    <w:rPr>
      <w:i/>
      <w:iCs/>
    </w:rPr>
  </w:style>
  <w:style w:type="character" w:styleId="Textoennegrita">
    <w:name w:val="Strong"/>
    <w:basedOn w:val="Fuentedeprrafopredeter"/>
    <w:uiPriority w:val="22"/>
    <w:qFormat/>
    <w:rsid w:val="007C16C2"/>
    <w:rPr>
      <w:b/>
      <w:bCs/>
    </w:rPr>
  </w:style>
  <w:style w:type="paragraph" w:customStyle="1" w:styleId="Default">
    <w:name w:val="Default"/>
    <w:rsid w:val="007C16C2"/>
    <w:pPr>
      <w:autoSpaceDE w:val="0"/>
      <w:autoSpaceDN w:val="0"/>
      <w:adjustRightInd w:val="0"/>
    </w:pPr>
    <w:rPr>
      <w:rFonts w:ascii="Times New Roman" w:hAnsi="Times New Roman" w:cs="Times New Roman"/>
      <w:color w:val="000000"/>
    </w:rPr>
  </w:style>
  <w:style w:type="character" w:customStyle="1" w:styleId="hgkelc">
    <w:name w:val="hgkelc"/>
    <w:basedOn w:val="Fuentedeprrafopredeter"/>
    <w:rsid w:val="006A5A65"/>
  </w:style>
  <w:style w:type="paragraph" w:styleId="NormalWeb">
    <w:name w:val="Normal (Web)"/>
    <w:basedOn w:val="Normal"/>
    <w:uiPriority w:val="99"/>
    <w:unhideWhenUsed/>
    <w:rsid w:val="006151DE"/>
    <w:pPr>
      <w:spacing w:before="100" w:beforeAutospacing="1" w:after="100" w:afterAutospacing="1"/>
    </w:pPr>
    <w:rPr>
      <w:rFonts w:ascii="Times New Roman" w:eastAsia="Times New Roman" w:hAnsi="Times New Roman" w:cs="Times New Roman"/>
      <w:color w:val="auto"/>
    </w:rPr>
  </w:style>
  <w:style w:type="paragraph" w:styleId="Textonotapie">
    <w:name w:val="footnote text"/>
    <w:basedOn w:val="Normal"/>
    <w:link w:val="TextonotapieCar"/>
    <w:uiPriority w:val="99"/>
    <w:semiHidden/>
    <w:unhideWhenUsed/>
    <w:rsid w:val="0080249E"/>
    <w:rPr>
      <w:sz w:val="20"/>
      <w:szCs w:val="20"/>
    </w:rPr>
  </w:style>
  <w:style w:type="character" w:customStyle="1" w:styleId="TextonotapieCar">
    <w:name w:val="Texto nota pie Car"/>
    <w:basedOn w:val="Fuentedeprrafopredeter"/>
    <w:link w:val="Textonotapie"/>
    <w:uiPriority w:val="99"/>
    <w:semiHidden/>
    <w:rsid w:val="0080249E"/>
    <w:rPr>
      <w:color w:val="000000"/>
      <w:sz w:val="20"/>
      <w:szCs w:val="20"/>
    </w:rPr>
  </w:style>
  <w:style w:type="character" w:styleId="Refdenotaalpie">
    <w:name w:val="footnote reference"/>
    <w:basedOn w:val="Fuentedeprrafopredeter"/>
    <w:uiPriority w:val="99"/>
    <w:semiHidden/>
    <w:unhideWhenUsed/>
    <w:rsid w:val="0080249E"/>
    <w:rPr>
      <w:vertAlign w:val="superscript"/>
    </w:rPr>
  </w:style>
  <w:style w:type="character" w:customStyle="1" w:styleId="61acd">
    <w:name w:val="_61acd"/>
    <w:basedOn w:val="Fuentedeprrafopredeter"/>
    <w:rsid w:val="009C45B2"/>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x.com/GaulaPolicia" TargetMode="External"/><Relationship Id="rId18" Type="http://schemas.openxmlformats.org/officeDocument/2006/relationships/hyperlink" Target="https://insightcrime.org/wp-content/uploads/2023/08/Extorsion-en-Colombia-PARES.pdf"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policia.gov.co" TargetMode="External"/><Relationship Id="rId17" Type="http://schemas.openxmlformats.org/officeDocument/2006/relationships/hyperlink" Target="https://x.com/GaulaPolicia" TargetMode="External"/><Relationship Id="rId2" Type="http://schemas.openxmlformats.org/officeDocument/2006/relationships/numbering" Target="numbering.xml"/><Relationship Id="rId16" Type="http://schemas.openxmlformats.org/officeDocument/2006/relationships/hyperlink" Target="https://bogota.gov.co/tag/bogota-camina-segur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gota.gov.co/" TargetMode="External"/><Relationship Id="rId5" Type="http://schemas.openxmlformats.org/officeDocument/2006/relationships/webSettings" Target="webSettings.xml"/><Relationship Id="rId15" Type="http://schemas.openxmlformats.org/officeDocument/2006/relationships/hyperlink" Target="https://bogota.gov.co/" TargetMode="External"/><Relationship Id="rId23" Type="http://schemas.openxmlformats.org/officeDocument/2006/relationships/theme" Target="theme/theme1.xml"/><Relationship Id="rId10" Type="http://schemas.openxmlformats.org/officeDocument/2006/relationships/hyperlink" Target="https://www.funcionpublica.gov.co/eva/gestornormativo/norma.php?i=6388&amp;244"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hyperlink" Target="https://www.fiscalia.gov.co/colombia/"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bogota.gov.co/mi-ciudad/seguridad/extorsion-en-bogota-estos-son-los-canales-para-denunciar" TargetMode="External"/><Relationship Id="rId1" Type="http://schemas.openxmlformats.org/officeDocument/2006/relationships/hyperlink" Target="https://www.pares.com.co/post/radiografia-de-la-extorsion-en-colomb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rnCRpueHqNWZuU8tjA/6sHdr4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IIaC5namRneHMyCWguMzBqMHpsbDgAciExUmE1dDdxNnFEYm56ZjN2OXF5S1VPV1ZHS2dnenNWa28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4415</Words>
  <Characters>24283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2025-02-11T23:32:00Z</dcterms:created>
  <dcterms:modified xsi:type="dcterms:W3CDTF">2025-02-11T23:37:00Z</dcterms:modified>
</cp:coreProperties>
</file>